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/>
        </w:rPr>
        <w:t>药学专业专升本人才培养方案</w:t>
      </w:r>
    </w:p>
    <w:p>
      <w:pPr>
        <w:pStyle w:val="13"/>
        <w:spacing w:before="0" w:beforeAutospacing="0" w:after="0" w:afterAutospacing="0" w:line="340" w:lineRule="exact"/>
        <w:jc w:val="both"/>
      </w:pPr>
      <w:r>
        <w:rPr>
          <w:rStyle w:val="15"/>
        </w:rPr>
        <w:t xml:space="preserve">一、培养目标 </w:t>
      </w:r>
    </w:p>
    <w:p>
      <w:pPr>
        <w:pStyle w:val="13"/>
        <w:widowControl w:val="0"/>
        <w:spacing w:before="0" w:beforeAutospacing="0" w:after="0" w:afterAutospacing="0" w:line="340" w:lineRule="exact"/>
        <w:ind w:firstLine="480" w:firstLineChars="200"/>
        <w:jc w:val="both"/>
      </w:pPr>
      <w:r>
        <w:rPr>
          <w:rFonts w:hint="eastAsia"/>
        </w:rPr>
        <w:t xml:space="preserve">培养德智体美劳全面发展，具有大健康理念和国际视野以及良好的创新创业能力，药学理论厚实、技能突出，能够在药物研发、生产、检验、流通、使用和管理等领域，从事药物发现和评价、药物制剂设计与制备、药品质量标准研究和质量控制、药品管理以及药学服务等方面工作的高素质专门人才。 </w:t>
      </w:r>
    </w:p>
    <w:p>
      <w:pPr>
        <w:pStyle w:val="13"/>
        <w:spacing w:before="0" w:beforeAutospacing="0" w:after="0" w:afterAutospacing="0" w:line="340" w:lineRule="exact"/>
        <w:jc w:val="both"/>
      </w:pPr>
      <w:r>
        <w:rPr>
          <w:rStyle w:val="15"/>
        </w:rPr>
        <w:t>二、</w:t>
      </w:r>
      <w:r>
        <w:rPr>
          <w:rStyle w:val="15"/>
          <w:rFonts w:hint="eastAsia"/>
        </w:rPr>
        <w:t>培养</w:t>
      </w:r>
      <w:r>
        <w:rPr>
          <w:rStyle w:val="15"/>
        </w:rPr>
        <w:t>要求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</w:pPr>
      <w:r>
        <w:rPr>
          <w:rFonts w:hint="eastAsia"/>
        </w:rPr>
        <w:t>（一）</w:t>
      </w:r>
      <w:r>
        <w:t>思想道德与职业素质</w:t>
      </w:r>
      <w:r>
        <w:rPr>
          <w:rFonts w:hint="eastAsia"/>
        </w:rPr>
        <w:t>目标</w:t>
      </w:r>
    </w:p>
    <w:p>
      <w:pPr>
        <w:spacing w:line="3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sz w:val="24"/>
        </w:rPr>
        <w:t>热爱祖国、遵纪守法</w:t>
      </w:r>
      <w:r>
        <w:rPr>
          <w:rFonts w:hint="eastAsia"/>
          <w:sz w:val="24"/>
        </w:rPr>
        <w:t>，</w:t>
      </w:r>
      <w:r>
        <w:rPr>
          <w:sz w:val="24"/>
        </w:rPr>
        <w:t>树立科学的世界观、人生观和价值观</w:t>
      </w:r>
      <w:r>
        <w:rPr>
          <w:rFonts w:hint="eastAsia"/>
          <w:sz w:val="24"/>
        </w:rPr>
        <w:t>，愿为祖国卫生事业的发展和人类身心健康奋斗终身</w:t>
      </w:r>
      <w:r>
        <w:rPr>
          <w:sz w:val="24"/>
        </w:rPr>
        <w:t>。</w:t>
      </w:r>
    </w:p>
    <w:p>
      <w:pPr>
        <w:spacing w:line="340" w:lineRule="exact"/>
        <w:ind w:firstLine="480" w:firstLineChars="200"/>
        <w:rPr>
          <w:kern w:val="0"/>
          <w:sz w:val="24"/>
        </w:rPr>
      </w:pPr>
      <w:r>
        <w:rPr>
          <w:rFonts w:hint="eastAsia"/>
          <w:sz w:val="24"/>
        </w:rPr>
        <w:t xml:space="preserve">2. </w:t>
      </w:r>
      <w:r>
        <w:rPr>
          <w:sz w:val="24"/>
        </w:rPr>
        <w:t>了解国家</w:t>
      </w:r>
      <w:r>
        <w:rPr>
          <w:rFonts w:hint="eastAsia"/>
          <w:sz w:val="24"/>
        </w:rPr>
        <w:t>卫生</w:t>
      </w:r>
      <w:r>
        <w:rPr>
          <w:sz w:val="24"/>
        </w:rPr>
        <w:t>政策和</w:t>
      </w:r>
      <w:r>
        <w:rPr>
          <w:rFonts w:hint="eastAsia"/>
          <w:sz w:val="24"/>
        </w:rPr>
        <w:t>医药</w:t>
      </w:r>
      <w:r>
        <w:rPr>
          <w:sz w:val="24"/>
        </w:rPr>
        <w:t>法规，</w:t>
      </w:r>
      <w:r>
        <w:rPr>
          <w:kern w:val="0"/>
          <w:sz w:val="24"/>
        </w:rPr>
        <w:t>树立依法从业的</w:t>
      </w:r>
      <w:r>
        <w:rPr>
          <w:rFonts w:hint="eastAsia"/>
          <w:kern w:val="0"/>
          <w:sz w:val="24"/>
        </w:rPr>
        <w:t>职业</w:t>
      </w:r>
      <w:r>
        <w:rPr>
          <w:kern w:val="0"/>
          <w:sz w:val="24"/>
        </w:rPr>
        <w:t>观念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sz w:val="24"/>
        </w:rPr>
        <w:t>培养</w:t>
      </w:r>
      <w:r>
        <w:rPr>
          <w:sz w:val="24"/>
        </w:rPr>
        <w:t>良好的职业素养</w:t>
      </w:r>
      <w:r>
        <w:rPr>
          <w:rFonts w:hint="eastAsia"/>
          <w:sz w:val="24"/>
        </w:rPr>
        <w:t>和职业道德。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3. </w:t>
      </w:r>
      <w:r>
        <w:rPr>
          <w:rFonts w:ascii="Times New Roman" w:hAnsi="Times New Roman"/>
        </w:rPr>
        <w:t>具有</w:t>
      </w:r>
      <w:r>
        <w:rPr>
          <w:rFonts w:hint="eastAsia" w:ascii="Times New Roman" w:hAnsi="Times New Roman"/>
        </w:rPr>
        <w:t>严谨的</w:t>
      </w:r>
      <w:r>
        <w:rPr>
          <w:rFonts w:ascii="Times New Roman" w:hAnsi="Times New Roman"/>
        </w:rPr>
        <w:t>科学态度、</w:t>
      </w:r>
      <w:r>
        <w:rPr>
          <w:rFonts w:hint="eastAsia" w:ascii="Times New Roman" w:hAnsi="Times New Roman"/>
        </w:rPr>
        <w:t>较强的</w:t>
      </w:r>
      <w:r>
        <w:rPr>
          <w:rFonts w:ascii="Times New Roman" w:hAnsi="Times New Roman"/>
        </w:rPr>
        <w:t>创新</w:t>
      </w:r>
      <w:r>
        <w:rPr>
          <w:rFonts w:hint="eastAsia" w:ascii="Times New Roman" w:hAnsi="Times New Roman"/>
        </w:rPr>
        <w:t>意识，</w:t>
      </w:r>
      <w:r>
        <w:rPr>
          <w:rFonts w:ascii="Times New Roman" w:hAnsi="Times New Roman"/>
        </w:rPr>
        <w:t>以及</w:t>
      </w:r>
      <w:r>
        <w:rPr>
          <w:rFonts w:hint="eastAsia" w:ascii="Times New Roman" w:hAnsi="Times New Roman"/>
        </w:rPr>
        <w:t>良好的团队协作</w:t>
      </w:r>
      <w:r>
        <w:rPr>
          <w:rFonts w:ascii="Times New Roman" w:hAnsi="Times New Roman"/>
        </w:rPr>
        <w:t>精神。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hint="eastAsia"/>
        </w:rPr>
        <w:t>心理</w:t>
      </w:r>
      <w:r>
        <w:t>健康</w:t>
      </w:r>
      <w:r>
        <w:rPr>
          <w:rFonts w:hint="eastAsia"/>
        </w:rPr>
        <w:t>、体格</w:t>
      </w:r>
      <w:r>
        <w:t>健全，</w:t>
      </w:r>
      <w:r>
        <w:rPr>
          <w:rFonts w:hint="eastAsia"/>
        </w:rPr>
        <w:t>能够胜任药学领域相关工作</w:t>
      </w:r>
      <w:r>
        <w:t>。</w:t>
      </w:r>
    </w:p>
    <w:p>
      <w:pPr>
        <w:spacing w:line="340" w:lineRule="exact"/>
        <w:ind w:firstLine="360" w:firstLineChars="15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（二）知识与技能</w:t>
      </w:r>
      <w:r>
        <w:rPr>
          <w:rFonts w:hint="eastAsia"/>
          <w:sz w:val="24"/>
        </w:rPr>
        <w:t>目标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 </w:t>
      </w:r>
      <w:r>
        <w:rPr>
          <w:rFonts w:ascii="Times New Roman" w:hAnsi="Times New Roman"/>
        </w:rPr>
        <w:t>掌握</w:t>
      </w:r>
      <w:r>
        <w:rPr>
          <w:rFonts w:hint="eastAsia" w:ascii="Times New Roman" w:hAnsi="Times New Roman"/>
        </w:rPr>
        <w:t>与药学相关的化学、生物学、医学和人文社会科学等基本理论与方法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2. </w:t>
      </w:r>
      <w:r>
        <w:rPr>
          <w:rFonts w:ascii="Times New Roman" w:hAnsi="Times New Roman"/>
        </w:rPr>
        <w:t>掌握药剂学、药理学、药物化学、药物分析</w:t>
      </w:r>
      <w:r>
        <w:rPr>
          <w:rFonts w:hint="eastAsia" w:ascii="Times New Roman" w:hAnsi="Times New Roman"/>
        </w:rPr>
        <w:t>等学科</w: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基础</w:t>
      </w:r>
      <w:r>
        <w:rPr>
          <w:rFonts w:ascii="Times New Roman" w:hAnsi="Times New Roman"/>
        </w:rPr>
        <w:t>理论和基本知识；掌握</w:t>
      </w:r>
      <w:r>
        <w:rPr>
          <w:rFonts w:hint="eastAsia" w:ascii="Times New Roman" w:hAnsi="Times New Roman"/>
        </w:rPr>
        <w:t>药物合成、</w:t>
      </w:r>
      <w:r>
        <w:rPr>
          <w:rFonts w:ascii="Times New Roman" w:hAnsi="Times New Roman"/>
        </w:rPr>
        <w:t>药物制剂</w:t>
      </w:r>
      <w:r>
        <w:rPr>
          <w:rFonts w:hint="eastAsia" w:ascii="Times New Roman" w:hAnsi="Times New Roman"/>
        </w:rPr>
        <w:t>工艺、药品</w:t>
      </w:r>
      <w:r>
        <w:rPr>
          <w:rFonts w:ascii="Times New Roman" w:hAnsi="Times New Roman"/>
        </w:rPr>
        <w:t>质量</w:t>
      </w:r>
      <w:r>
        <w:rPr>
          <w:rFonts w:hint="eastAsia" w:ascii="Times New Roman" w:hAnsi="Times New Roman"/>
        </w:rPr>
        <w:t>检验</w:t>
      </w:r>
      <w:r>
        <w:rPr>
          <w:rFonts w:ascii="Times New Roman" w:hAnsi="Times New Roman"/>
        </w:rPr>
        <w:t>、药效学和药物安全性评价的理论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方法</w:t>
      </w:r>
      <w:r>
        <w:rPr>
          <w:rFonts w:hint="eastAsia" w:ascii="Times New Roman" w:hAnsi="Times New Roman"/>
        </w:rPr>
        <w:t>、技术</w:t>
      </w:r>
      <w:r>
        <w:rPr>
          <w:rFonts w:ascii="Times New Roman" w:hAnsi="Times New Roman"/>
        </w:rPr>
        <w:t>及</w:t>
      </w:r>
      <w:r>
        <w:rPr>
          <w:rFonts w:hint="eastAsia" w:ascii="Times New Roman" w:hAnsi="Times New Roman"/>
        </w:rPr>
        <w:t>药物使用</w:t>
      </w:r>
      <w:r>
        <w:rPr>
          <w:rFonts w:ascii="Times New Roman" w:hAnsi="Times New Roman"/>
        </w:rPr>
        <w:t>的基本原则。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3. 了解药学领域的理论前沿和发展动态；了解国内外药物产业发展现状；熟悉国家药品法规和药事管理等相关知识。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4. </w:t>
      </w:r>
      <w:r>
        <w:rPr>
          <w:rFonts w:ascii="Times New Roman" w:hAnsi="Times New Roman"/>
        </w:rPr>
        <w:t>掌握一门外语，具有一定的听、说、读、写能力，</w:t>
      </w:r>
      <w:r>
        <w:rPr>
          <w:rFonts w:hint="eastAsia" w:ascii="Times New Roman" w:hAnsi="Times New Roman"/>
          <w:lang w:val="en-US" w:eastAsia="zh-Hans"/>
        </w:rPr>
        <w:t>基本</w:t>
      </w:r>
      <w:r>
        <w:rPr>
          <w:rFonts w:ascii="Times New Roman" w:hAnsi="Times New Roman"/>
        </w:rPr>
        <w:t>可以阅读</w:t>
      </w:r>
      <w:r>
        <w:rPr>
          <w:rFonts w:hint="eastAsia" w:ascii="Times New Roman" w:hAnsi="Times New Roman"/>
        </w:rPr>
        <w:t>并理解</w:t>
      </w:r>
      <w:r>
        <w:rPr>
          <w:rFonts w:ascii="Times New Roman" w:hAnsi="Times New Roman"/>
        </w:rPr>
        <w:t>本专业的外文书刊。具有</w:t>
      </w:r>
      <w:r>
        <w:rPr>
          <w:rFonts w:hint="eastAsia" w:ascii="Times New Roman" w:hAnsi="Times New Roman"/>
        </w:rPr>
        <w:t>较为熟练</w:t>
      </w:r>
      <w:r>
        <w:rPr>
          <w:rFonts w:ascii="Times New Roman" w:hAnsi="Times New Roman"/>
        </w:rPr>
        <w:t>的计算机应用能力</w:t>
      </w:r>
      <w:r>
        <w:rPr>
          <w:rFonts w:hint="eastAsia" w:ascii="Times New Roman" w:hAnsi="Times New Roman"/>
        </w:rPr>
        <w:t>和获取药物相关信息的能力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5. 树立</w:t>
      </w:r>
      <w:r>
        <w:rPr>
          <w:rFonts w:ascii="Times New Roman" w:hAnsi="Times New Roman"/>
        </w:rPr>
        <w:t>终</w:t>
      </w:r>
      <w:r>
        <w:rPr>
          <w:rFonts w:hint="eastAsia" w:ascii="Times New Roman" w:hAnsi="Times New Roman"/>
        </w:rPr>
        <w:t>身</w:t>
      </w:r>
      <w:r>
        <w:rPr>
          <w:rFonts w:ascii="Times New Roman" w:hAnsi="Times New Roman"/>
        </w:rPr>
        <w:t>学习</w:t>
      </w:r>
      <w:r>
        <w:rPr>
          <w:rFonts w:hint="eastAsia" w:ascii="Times New Roman" w:hAnsi="Times New Roman"/>
        </w:rPr>
        <w:t>的理念，</w:t>
      </w:r>
      <w:r>
        <w:rPr>
          <w:rFonts w:ascii="Times New Roman" w:hAnsi="Times New Roman"/>
        </w:rPr>
        <w:t>具备自主学习</w:t>
      </w:r>
      <w:r>
        <w:rPr>
          <w:rFonts w:hint="eastAsia" w:ascii="Times New Roman" w:hAnsi="Times New Roman"/>
        </w:rPr>
        <w:t>的能力</w:t>
      </w:r>
      <w:r>
        <w:rPr>
          <w:rFonts w:ascii="Times New Roman" w:hAnsi="Times New Roman"/>
        </w:rPr>
        <w:t>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6. </w:t>
      </w:r>
      <w:r>
        <w:rPr>
          <w:rFonts w:ascii="Times New Roman" w:hAnsi="Times New Roman"/>
        </w:rPr>
        <w:t>具</w:t>
      </w:r>
      <w:r>
        <w:rPr>
          <w:rFonts w:hint="eastAsia" w:ascii="Times New Roman" w:hAnsi="Times New Roman"/>
        </w:rPr>
        <w:t>有良好</w:t>
      </w:r>
      <w:r>
        <w:rPr>
          <w:rFonts w:ascii="Times New Roman" w:hAnsi="Times New Roman"/>
        </w:rPr>
        <w:t>的交流与沟通能力。</w:t>
      </w:r>
    </w:p>
    <w:p>
      <w:pPr>
        <w:pStyle w:val="13"/>
        <w:spacing w:before="0" w:beforeAutospacing="0" w:after="0" w:afterAutospacing="0" w:line="340" w:lineRule="exact"/>
        <w:jc w:val="both"/>
      </w:pPr>
      <w:r>
        <w:rPr>
          <w:rStyle w:val="15"/>
        </w:rPr>
        <w:t>三、主干学科</w:t>
      </w:r>
      <w:r>
        <w:rPr>
          <w:rStyle w:val="15"/>
          <w:rFonts w:hint="eastAsia"/>
        </w:rPr>
        <w:t>和主要课程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</w:pPr>
      <w:r>
        <w:rPr>
          <w:rStyle w:val="15"/>
          <w:rFonts w:hint="eastAsia"/>
          <w:b w:val="0"/>
        </w:rPr>
        <w:t>（一）</w:t>
      </w:r>
      <w:r>
        <w:rPr>
          <w:rStyle w:val="15"/>
          <w:b w:val="0"/>
        </w:rPr>
        <w:t>主干学科</w:t>
      </w:r>
      <w:r>
        <w:rPr>
          <w:rStyle w:val="15"/>
          <w:rFonts w:hint="eastAsia"/>
          <w:b w:val="0"/>
        </w:rPr>
        <w:t>：</w:t>
      </w:r>
      <w:r>
        <w:rPr>
          <w:rFonts w:hint="eastAsia"/>
        </w:rPr>
        <w:t>化学、</w:t>
      </w:r>
      <w:r>
        <w:rPr>
          <w:rFonts w:hint="eastAsia"/>
          <w:lang w:val="en-US" w:eastAsia="zh-Hans"/>
        </w:rPr>
        <w:t>生物学</w:t>
      </w:r>
      <w:r>
        <w:rPr>
          <w:rFonts w:hint="default"/>
          <w:lang w:eastAsia="zh-Hans"/>
        </w:rPr>
        <w:t>、</w:t>
      </w:r>
      <w:r>
        <w:rPr>
          <w:rFonts w:hint="eastAsia"/>
        </w:rPr>
        <w:t>药学。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</w:pPr>
      <w:r>
        <w:rPr>
          <w:rStyle w:val="15"/>
          <w:rFonts w:hint="eastAsia"/>
          <w:b w:val="0"/>
        </w:rPr>
        <w:t>（二）主要课程：</w:t>
      </w:r>
      <w:r>
        <w:rPr>
          <w:rFonts w:hint="eastAsia"/>
        </w:rPr>
        <w:t>药学导论、有机化学、物理化学、基础医学概论、临床医学概论、药理学、药物化学、药剂学、药物分析、生物药剂学与药物动力学、药事管理学等。</w:t>
      </w:r>
    </w:p>
    <w:p>
      <w:pPr>
        <w:pStyle w:val="13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四、主要实践教学环节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一</w:t>
      </w:r>
      <w:r>
        <w:rPr>
          <w:rFonts w:ascii="Times New Roman" w:hAnsi="Times New Roman"/>
        </w:rPr>
        <w:t>）社会实践</w:t>
      </w:r>
      <w:r>
        <w:rPr>
          <w:rFonts w:hint="eastAsia" w:ascii="Times New Roman" w:hAnsi="Times New Roman"/>
        </w:rPr>
        <w:t>（含公益劳动）</w:t>
      </w:r>
      <w:r>
        <w:rPr>
          <w:rFonts w:ascii="Times New Roman" w:hAnsi="Times New Roman"/>
        </w:rPr>
        <w:t>2周，安排在假期，计2学分。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二</w:t>
      </w:r>
      <w:r>
        <w:rPr>
          <w:rFonts w:ascii="Times New Roman" w:hAnsi="Times New Roman"/>
        </w:rPr>
        <w:t>）毕业实习及毕业论文18周，计8学分。</w:t>
      </w:r>
      <w:r>
        <w:rPr>
          <w:rFonts w:hint="eastAsia" w:ascii="Times New Roman" w:hAnsi="Times New Roman"/>
        </w:rPr>
        <w:t>实验性论文选题占本专业全部论文选题的比例不低于90%。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三</w:t>
      </w:r>
      <w:r>
        <w:rPr>
          <w:rFonts w:ascii="Times New Roman" w:hAnsi="Times New Roman"/>
        </w:rPr>
        <w:t>）创新创业素质拓展，</w:t>
      </w:r>
      <w:r>
        <w:rPr>
          <w:rFonts w:hint="eastAsia" w:ascii="Times New Roman" w:hAnsi="Times New Roman"/>
        </w:rPr>
        <w:t>1.5</w:t>
      </w:r>
      <w:r>
        <w:rPr>
          <w:rFonts w:ascii="Times New Roman" w:hAnsi="Times New Roman"/>
        </w:rPr>
        <w:t>学分</w:t>
      </w:r>
      <w:r>
        <w:rPr>
          <w:rFonts w:hint="eastAsia" w:ascii="Times New Roman" w:hAnsi="Times New Roman"/>
        </w:rPr>
        <w:t>。</w:t>
      </w:r>
    </w:p>
    <w:p>
      <w:pPr>
        <w:pStyle w:val="13"/>
        <w:spacing w:before="0" w:beforeAutospacing="0" w:after="0" w:afterAutospacing="0" w:line="340" w:lineRule="exact"/>
        <w:ind w:firstLine="480" w:firstLineChars="200"/>
      </w:pPr>
      <w:r>
        <w:t>1.</w:t>
      </w:r>
      <w:r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13"/>
        <w:spacing w:before="0" w:beforeAutospacing="0" w:after="0" w:afterAutospacing="0" w:line="340" w:lineRule="exact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主持“互联网+”大学生创新创业大赛项目，报名成功并进入校级比赛的，每项3学分；参与该项目的，每项1.5学分；</w:t>
      </w:r>
    </w:p>
    <w:p>
      <w:pPr>
        <w:pStyle w:val="13"/>
        <w:spacing w:before="0" w:beforeAutospacing="0" w:after="0" w:afterAutospacing="0" w:line="340" w:lineRule="exact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pStyle w:val="13"/>
        <w:tabs>
          <w:tab w:val="left" w:pos="3990"/>
        </w:tabs>
        <w:spacing w:before="0" w:beforeAutospacing="0" w:after="0" w:afterAutospacing="0" w:line="340" w:lineRule="exact"/>
        <w:ind w:firstLine="360" w:firstLineChars="150"/>
        <w:jc w:val="both"/>
        <w:rPr>
          <w:rStyle w:val="15"/>
        </w:rPr>
      </w:pPr>
      <w:r>
        <w:rPr>
          <w:rStyle w:val="15"/>
          <w:rFonts w:hint="eastAsia"/>
        </w:rPr>
        <w:t>五</w:t>
      </w:r>
      <w:r>
        <w:rPr>
          <w:rStyle w:val="15"/>
        </w:rPr>
        <w:t xml:space="preserve">、课程设置 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ascii="Times New Roman" w:hAnsi="Times New Roman"/>
          <w:b w:val="0"/>
        </w:rPr>
        <w:t>（一）必修课程（共19门、901学时、51学分）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ascii="Times New Roman" w:hAnsi="Times New Roman"/>
          <w:b w:val="0"/>
        </w:rPr>
        <w:t>（二）限选课程</w:t>
      </w:r>
      <w:r>
        <w:rPr>
          <w:rStyle w:val="15"/>
          <w:rFonts w:hint="eastAsia" w:ascii="Times New Roman" w:hAnsi="Times New Roman"/>
          <w:b w:val="0"/>
        </w:rPr>
        <w:t>（13门选</w:t>
      </w:r>
      <w:r>
        <w:rPr>
          <w:rStyle w:val="15"/>
          <w:rFonts w:hint="default" w:ascii="Times New Roman" w:hAnsi="Times New Roman"/>
          <w:b w:val="0"/>
        </w:rPr>
        <w:t>7</w:t>
      </w:r>
      <w:r>
        <w:rPr>
          <w:rStyle w:val="15"/>
          <w:rFonts w:hint="eastAsia" w:ascii="Times New Roman" w:hAnsi="Times New Roman"/>
          <w:b w:val="0"/>
        </w:rPr>
        <w:t>门，最低选修1</w:t>
      </w:r>
      <w:r>
        <w:rPr>
          <w:rStyle w:val="15"/>
          <w:rFonts w:hint="default" w:ascii="Times New Roman" w:hAnsi="Times New Roman"/>
          <w:b w:val="0"/>
        </w:rPr>
        <w:t>2</w:t>
      </w:r>
      <w:r>
        <w:rPr>
          <w:rStyle w:val="15"/>
          <w:rFonts w:hint="eastAsia" w:ascii="Times New Roman" w:hAnsi="Times New Roman"/>
          <w:b w:val="0"/>
        </w:rPr>
        <w:t>学分）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ascii="Times New Roman" w:hAnsi="Times New Roman"/>
          <w:b w:val="0"/>
        </w:rPr>
        <w:t>（三）</w:t>
      </w:r>
      <w:r>
        <w:rPr>
          <w:rStyle w:val="15"/>
          <w:rFonts w:hint="eastAsia" w:ascii="Times New Roman" w:hAnsi="Times New Roman"/>
          <w:b w:val="0"/>
        </w:rPr>
        <w:t>公共</w:t>
      </w:r>
      <w:r>
        <w:rPr>
          <w:rStyle w:val="15"/>
          <w:rFonts w:ascii="Times New Roman" w:hAnsi="Times New Roman"/>
          <w:b w:val="0"/>
        </w:rPr>
        <w:t>任选课（</w:t>
      </w:r>
      <w:r>
        <w:rPr>
          <w:rStyle w:val="15"/>
          <w:rFonts w:hint="eastAsia" w:ascii="Times New Roman" w:hAnsi="Times New Roman"/>
          <w:b w:val="0"/>
        </w:rPr>
        <w:t>5</w:t>
      </w:r>
      <w:r>
        <w:rPr>
          <w:rStyle w:val="15"/>
          <w:rFonts w:ascii="Times New Roman" w:hAnsi="Times New Roman"/>
          <w:b w:val="0"/>
        </w:rPr>
        <w:t>学分）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hint="eastAsia" w:ascii="Times New Roman" w:hAnsi="Times New Roman"/>
          <w:b w:val="0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>
      <w:pPr>
        <w:pStyle w:val="13"/>
        <w:widowControl w:val="0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</w:rPr>
      </w:pPr>
      <w:r>
        <w:rPr>
          <w:rStyle w:val="15"/>
          <w:rFonts w:ascii="Times New Roman" w:hAnsi="Times New Roman"/>
          <w:b w:val="0"/>
        </w:rPr>
        <w:t>（四）</w:t>
      </w:r>
      <w:r>
        <w:rPr>
          <w:rFonts w:ascii="Times New Roman" w:hAnsi="Times New Roman"/>
        </w:rPr>
        <w:t>创业基础课程：共32学时，</w:t>
      </w:r>
      <w:r>
        <w:rPr>
          <w:rFonts w:hint="eastAsia" w:ascii="Times New Roman" w:hAnsi="Times New Roman"/>
        </w:rPr>
        <w:t>1.5</w:t>
      </w:r>
      <w:r>
        <w:rPr>
          <w:rFonts w:ascii="Times New Roman" w:hAnsi="Times New Roman"/>
        </w:rPr>
        <w:t>学分</w:t>
      </w:r>
      <w:r>
        <w:rPr>
          <w:rFonts w:hint="eastAsia" w:ascii="Times New Roman" w:hAnsi="Times New Roman"/>
        </w:rPr>
        <w:t>（属于必修课程）。</w:t>
      </w:r>
    </w:p>
    <w:p>
      <w:pPr>
        <w:pStyle w:val="13"/>
        <w:spacing w:before="0" w:beforeAutospacing="0" w:after="0" w:afterAutospacing="0" w:line="340" w:lineRule="exact"/>
        <w:ind w:firstLine="352" w:firstLineChars="147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ascii="Times New Roman" w:hAnsi="Times New Roman"/>
          <w:b w:val="0"/>
        </w:rPr>
        <w:t>（</w:t>
      </w:r>
      <w:r>
        <w:rPr>
          <w:rFonts w:hint="eastAsia" w:ascii="Times New Roman" w:hAnsi="Times New Roman"/>
          <w:bCs/>
        </w:rPr>
        <w:t>五</w:t>
      </w:r>
      <w:r>
        <w:rPr>
          <w:rStyle w:val="15"/>
          <w:rFonts w:ascii="Times New Roman" w:hAnsi="Times New Roman"/>
          <w:b w:val="0"/>
        </w:rPr>
        <w:t>）毕业实习及毕业论文：共</w:t>
      </w:r>
      <w:r>
        <w:rPr>
          <w:rStyle w:val="15"/>
          <w:rFonts w:hint="eastAsia" w:ascii="Times New Roman" w:hAnsi="Times New Roman"/>
          <w:b w:val="0"/>
        </w:rPr>
        <w:t>18</w:t>
      </w:r>
      <w:r>
        <w:rPr>
          <w:rStyle w:val="15"/>
          <w:rFonts w:ascii="Times New Roman" w:hAnsi="Times New Roman"/>
          <w:b w:val="0"/>
        </w:rPr>
        <w:t>周</w:t>
      </w:r>
      <w:r>
        <w:rPr>
          <w:rStyle w:val="15"/>
          <w:rFonts w:hint="eastAsia" w:ascii="Times New Roman" w:hAnsi="Times New Roman"/>
          <w:b w:val="0"/>
        </w:rPr>
        <w:t>（含2周机动假）</w:t>
      </w:r>
      <w:r>
        <w:rPr>
          <w:rStyle w:val="15"/>
          <w:rFonts w:ascii="Times New Roman" w:hAnsi="Times New Roman"/>
          <w:b w:val="0"/>
        </w:rPr>
        <w:t>，</w:t>
      </w:r>
      <w:r>
        <w:rPr>
          <w:rStyle w:val="15"/>
          <w:rFonts w:hint="eastAsia" w:ascii="Times New Roman" w:hAnsi="Times New Roman"/>
          <w:b w:val="0"/>
        </w:rPr>
        <w:t>8</w:t>
      </w:r>
      <w:r>
        <w:rPr>
          <w:rStyle w:val="15"/>
          <w:rFonts w:ascii="Times New Roman" w:hAnsi="Times New Roman"/>
          <w:b w:val="0"/>
        </w:rPr>
        <w:t>学分。</w:t>
      </w:r>
    </w:p>
    <w:p>
      <w:pPr>
        <w:pStyle w:val="13"/>
        <w:spacing w:before="0" w:beforeAutospacing="0" w:after="0" w:afterAutospacing="0" w:line="340" w:lineRule="exact"/>
        <w:ind w:firstLine="352" w:firstLineChars="1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  <w:bCs/>
        </w:rPr>
        <w:t>七</w:t>
      </w:r>
      <w:r>
        <w:rPr>
          <w:rFonts w:ascii="Times New Roman" w:hAnsi="Times New Roman"/>
        </w:rPr>
        <w:t>）社会实践</w:t>
      </w:r>
    </w:p>
    <w:p>
      <w:pPr>
        <w:pStyle w:val="7"/>
        <w:spacing w:after="0" w:line="340" w:lineRule="exact"/>
        <w:ind w:left="0" w:leftChars="0" w:firstLine="480" w:firstLineChars="200"/>
        <w:rPr>
          <w:rStyle w:val="15"/>
          <w:b w:val="0"/>
          <w:kern w:val="0"/>
          <w:sz w:val="24"/>
        </w:rPr>
      </w:pPr>
      <w:r>
        <w:rPr>
          <w:rStyle w:val="15"/>
          <w:rFonts w:hint="eastAsia"/>
          <w:b w:val="0"/>
          <w:kern w:val="0"/>
          <w:sz w:val="24"/>
        </w:rPr>
        <w:t xml:space="preserve">1. </w:t>
      </w:r>
      <w:r>
        <w:rPr>
          <w:rStyle w:val="15"/>
          <w:b w:val="0"/>
          <w:kern w:val="0"/>
          <w:sz w:val="24"/>
        </w:rPr>
        <w:t>假期社会实践：寒暑假社会实践，36学时（1周）计1学分。</w:t>
      </w:r>
    </w:p>
    <w:p>
      <w:pPr>
        <w:pStyle w:val="7"/>
        <w:spacing w:after="0" w:line="340" w:lineRule="exact"/>
        <w:ind w:left="0" w:leftChars="0" w:firstLine="480" w:firstLineChars="200"/>
        <w:rPr>
          <w:rStyle w:val="15"/>
          <w:b w:val="0"/>
          <w:kern w:val="0"/>
          <w:sz w:val="24"/>
        </w:rPr>
      </w:pPr>
      <w:r>
        <w:rPr>
          <w:rStyle w:val="15"/>
          <w:rFonts w:hint="eastAsia"/>
          <w:b w:val="0"/>
          <w:kern w:val="0"/>
          <w:sz w:val="24"/>
        </w:rPr>
        <w:t xml:space="preserve">2. </w:t>
      </w:r>
      <w:r>
        <w:rPr>
          <w:rStyle w:val="15"/>
          <w:b w:val="0"/>
          <w:kern w:val="0"/>
          <w:sz w:val="24"/>
        </w:rPr>
        <w:t>志愿服务：校内外志愿服务活动，36学时（1周）计1学分。</w:t>
      </w:r>
    </w:p>
    <w:p>
      <w:pPr>
        <w:spacing w:line="340" w:lineRule="exact"/>
        <w:ind w:firstLine="480" w:firstLineChars="200"/>
        <w:jc w:val="left"/>
        <w:rPr>
          <w:sz w:val="24"/>
        </w:rPr>
      </w:pPr>
      <w:r>
        <w:rPr>
          <w:rStyle w:val="15"/>
          <w:rFonts w:hint="eastAsia"/>
          <w:b w:val="0"/>
          <w:kern w:val="0"/>
          <w:sz w:val="24"/>
        </w:rPr>
        <w:t>3</w:t>
      </w:r>
      <w:r>
        <w:rPr>
          <w:rStyle w:val="15"/>
          <w:b w:val="0"/>
          <w:kern w:val="0"/>
          <w:sz w:val="24"/>
        </w:rPr>
        <w:t>.</w:t>
      </w:r>
      <w:r>
        <w:rPr>
          <w:rFonts w:hint="eastAsia" w:hAnsi="宋体"/>
          <w:bCs/>
          <w:sz w:val="24"/>
        </w:rPr>
        <w:t xml:space="preserve"> </w:t>
      </w:r>
      <w:r>
        <w:rPr>
          <w:rFonts w:hint="eastAsia"/>
          <w:sz w:val="24"/>
        </w:rPr>
        <w:t>公益劳动：</w:t>
      </w:r>
      <w:r>
        <w:rPr>
          <w:sz w:val="24"/>
        </w:rPr>
        <w:t>校内外公益劳动</w:t>
      </w:r>
      <w:r>
        <w:rPr>
          <w:rFonts w:hint="eastAsia"/>
          <w:sz w:val="24"/>
        </w:rPr>
        <w:t>，</w:t>
      </w:r>
      <w:r>
        <w:rPr>
          <w:sz w:val="24"/>
        </w:rPr>
        <w:t>每学期</w:t>
      </w:r>
      <w:r>
        <w:rPr>
          <w:rFonts w:hint="eastAsia"/>
          <w:sz w:val="24"/>
        </w:rPr>
        <w:t>1学时。</w:t>
      </w:r>
    </w:p>
    <w:p>
      <w:pPr>
        <w:pStyle w:val="7"/>
        <w:spacing w:after="0" w:line="340" w:lineRule="exact"/>
        <w:ind w:left="0" w:leftChars="0" w:firstLine="480" w:firstLineChars="200"/>
        <w:rPr>
          <w:bCs/>
          <w:kern w:val="0"/>
          <w:sz w:val="24"/>
        </w:rPr>
      </w:pPr>
      <w:r>
        <w:rPr>
          <w:rStyle w:val="15"/>
          <w:b w:val="0"/>
          <w:kern w:val="0"/>
          <w:sz w:val="24"/>
        </w:rPr>
        <w:t>单项或者累计满</w:t>
      </w:r>
      <w:r>
        <w:rPr>
          <w:rStyle w:val="15"/>
          <w:rFonts w:hint="eastAsia"/>
          <w:b w:val="0"/>
          <w:kern w:val="0"/>
          <w:sz w:val="24"/>
        </w:rPr>
        <w:t>1</w:t>
      </w:r>
      <w:r>
        <w:rPr>
          <w:rStyle w:val="15"/>
          <w:b w:val="0"/>
          <w:kern w:val="0"/>
          <w:sz w:val="24"/>
        </w:rPr>
        <w:t>学分者，计</w:t>
      </w:r>
      <w:r>
        <w:rPr>
          <w:rStyle w:val="15"/>
          <w:rFonts w:hint="eastAsia"/>
          <w:b w:val="0"/>
          <w:kern w:val="0"/>
          <w:sz w:val="24"/>
        </w:rPr>
        <w:t>1</w:t>
      </w:r>
      <w:r>
        <w:rPr>
          <w:rStyle w:val="15"/>
          <w:b w:val="0"/>
          <w:kern w:val="0"/>
          <w:sz w:val="24"/>
        </w:rPr>
        <w:t>学分。</w:t>
      </w:r>
    </w:p>
    <w:p>
      <w:pPr>
        <w:pStyle w:val="13"/>
        <w:spacing w:before="0" w:beforeAutospacing="0" w:after="0" w:afterAutospacing="0" w:line="340" w:lineRule="exact"/>
        <w:jc w:val="both"/>
        <w:rPr>
          <w:rStyle w:val="15"/>
        </w:rPr>
      </w:pPr>
      <w:r>
        <w:rPr>
          <w:rStyle w:val="15"/>
          <w:rFonts w:hint="eastAsia"/>
        </w:rPr>
        <w:t>六</w:t>
      </w:r>
      <w:r>
        <w:rPr>
          <w:rStyle w:val="15"/>
        </w:rPr>
        <w:t>、</w:t>
      </w:r>
      <w:r>
        <w:rPr>
          <w:rStyle w:val="15"/>
          <w:rFonts w:hint="eastAsia"/>
        </w:rPr>
        <w:t>学制及修业年限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hint="eastAsia" w:ascii="Times New Roman"/>
          <w:b w:val="0"/>
        </w:rPr>
        <w:t>（一）基本学制：</w:t>
      </w:r>
      <w:r>
        <w:rPr>
          <w:rStyle w:val="15"/>
          <w:rFonts w:hint="eastAsia" w:ascii="Times New Roman" w:hAnsi="Times New Roman"/>
          <w:b w:val="0"/>
        </w:rPr>
        <w:t>2</w:t>
      </w:r>
      <w:r>
        <w:rPr>
          <w:rStyle w:val="15"/>
          <w:rFonts w:hint="eastAsia" w:ascii="Times New Roman"/>
          <w:b w:val="0"/>
        </w:rPr>
        <w:t>年</w:t>
      </w:r>
    </w:p>
    <w:p>
      <w:pPr>
        <w:pStyle w:val="13"/>
        <w:spacing w:before="0" w:beforeAutospacing="0" w:after="0" w:afterAutospacing="0" w:line="340" w:lineRule="exact"/>
        <w:ind w:firstLine="360" w:firstLineChars="15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hint="eastAsia" w:ascii="Times New Roman"/>
          <w:b w:val="0"/>
        </w:rPr>
        <w:t>（二）修业年限：2～5年</w:t>
      </w:r>
    </w:p>
    <w:p>
      <w:pPr>
        <w:pStyle w:val="13"/>
        <w:spacing w:before="0" w:beforeAutospacing="0" w:after="156" w:afterLines="50" w:afterAutospacing="0" w:line="340" w:lineRule="exact"/>
        <w:ind w:firstLine="360" w:firstLineChars="150"/>
        <w:jc w:val="both"/>
        <w:rPr>
          <w:rStyle w:val="15"/>
          <w:rFonts w:ascii="Times New Roman"/>
          <w:b w:val="0"/>
        </w:rPr>
      </w:pPr>
      <w:r>
        <w:rPr>
          <w:rStyle w:val="15"/>
          <w:rFonts w:hint="eastAsia" w:ascii="Times New Roman"/>
          <w:b w:val="0"/>
        </w:rPr>
        <w:t>（三）各学年时间分配，见下表（单位：周）。</w:t>
      </w:r>
    </w:p>
    <w:p>
      <w:pPr>
        <w:spacing w:line="340" w:lineRule="exact"/>
        <w:jc w:val="center"/>
        <w:rPr>
          <w:rStyle w:val="15"/>
          <w:rFonts w:ascii="宋体" w:hAnsi="宋体"/>
          <w:b w:val="0"/>
          <w:bCs w:val="0"/>
          <w:sz w:val="24"/>
        </w:rPr>
      </w:pPr>
      <w:r>
        <w:rPr>
          <w:rStyle w:val="15"/>
          <w:rFonts w:hint="eastAsia" w:ascii="宋体" w:hAnsi="宋体"/>
          <w:b w:val="0"/>
          <w:bCs w:val="0"/>
          <w:sz w:val="24"/>
        </w:rPr>
        <w:t>表1  药学专本衔接各学年时间分配表（单位：周）</w:t>
      </w:r>
    </w:p>
    <w:tbl>
      <w:tblPr>
        <w:tblStyle w:val="19"/>
        <w:tblW w:w="71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002"/>
        <w:gridCol w:w="956"/>
        <w:gridCol w:w="1258"/>
        <w:gridCol w:w="977"/>
        <w:gridCol w:w="864"/>
        <w:gridCol w:w="996"/>
      </w:tblGrid>
      <w:tr>
        <w:trPr>
          <w:jc w:val="center"/>
        </w:trPr>
        <w:tc>
          <w:tcPr>
            <w:tcW w:w="10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学年</w:t>
            </w:r>
          </w:p>
        </w:tc>
        <w:tc>
          <w:tcPr>
            <w:tcW w:w="10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ind w:firstLine="102" w:firstLineChars="49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教学</w:t>
            </w:r>
          </w:p>
        </w:tc>
        <w:tc>
          <w:tcPr>
            <w:tcW w:w="9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ind w:firstLine="205" w:firstLineChars="98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考试</w:t>
            </w:r>
          </w:p>
        </w:tc>
        <w:tc>
          <w:tcPr>
            <w:tcW w:w="12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毕业实习</w:t>
            </w:r>
          </w:p>
        </w:tc>
        <w:tc>
          <w:tcPr>
            <w:tcW w:w="9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机动</w:t>
            </w:r>
          </w:p>
        </w:tc>
        <w:tc>
          <w:tcPr>
            <w:tcW w:w="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假期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合计</w:t>
            </w:r>
          </w:p>
        </w:tc>
      </w:tr>
      <w:tr>
        <w:trPr>
          <w:trHeight w:val="409" w:hRule="atLeast"/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一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  <w:t>32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-</w:t>
            </w:r>
          </w:p>
        </w:tc>
        <w:tc>
          <w:tcPr>
            <w:tcW w:w="977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  <w:t>14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  <w:t>52</w:t>
            </w:r>
          </w:p>
        </w:tc>
      </w:tr>
      <w:tr>
        <w:trPr>
          <w:trHeight w:val="409" w:hRule="atLeast"/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/>
                <w:b w:val="0"/>
                <w:sz w:val="21"/>
                <w:szCs w:val="21"/>
              </w:rPr>
              <w:t>二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16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18</w:t>
            </w:r>
          </w:p>
        </w:tc>
        <w:tc>
          <w:tcPr>
            <w:tcW w:w="977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42</w:t>
            </w:r>
          </w:p>
        </w:tc>
      </w:tr>
      <w:tr>
        <w:trPr>
          <w:jc w:val="center"/>
        </w:trPr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ascii="Times New Roman"/>
                <w:b w:val="0"/>
                <w:sz w:val="21"/>
                <w:szCs w:val="21"/>
              </w:rPr>
              <w:t>合计</w:t>
            </w:r>
          </w:p>
        </w:tc>
        <w:tc>
          <w:tcPr>
            <w:tcW w:w="100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48</w:t>
            </w:r>
          </w:p>
        </w:tc>
        <w:tc>
          <w:tcPr>
            <w:tcW w:w="95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6</w:t>
            </w:r>
          </w:p>
        </w:tc>
        <w:tc>
          <w:tcPr>
            <w:tcW w:w="1258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18</w:t>
            </w:r>
          </w:p>
        </w:tc>
        <w:tc>
          <w:tcPr>
            <w:tcW w:w="977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864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18</w:t>
            </w:r>
          </w:p>
        </w:tc>
        <w:tc>
          <w:tcPr>
            <w:tcW w:w="99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40" w:lineRule="exact"/>
              <w:jc w:val="center"/>
              <w:rPr>
                <w:rStyle w:val="15"/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Style w:val="15"/>
                <w:rFonts w:hint="eastAsia" w:ascii="Times New Roman" w:hAnsi="Times New Roman"/>
                <w:b w:val="0"/>
                <w:sz w:val="21"/>
                <w:szCs w:val="21"/>
              </w:rPr>
              <w:t>94</w:t>
            </w:r>
          </w:p>
        </w:tc>
      </w:tr>
    </w:tbl>
    <w:p>
      <w:pPr>
        <w:pStyle w:val="13"/>
        <w:spacing w:before="0" w:beforeAutospacing="0" w:after="0" w:afterAutospacing="0" w:line="340" w:lineRule="exact"/>
        <w:ind w:firstLine="420" w:firstLineChars="200"/>
        <w:rPr>
          <w:rStyle w:val="15"/>
          <w:b w:val="0"/>
          <w:sz w:val="21"/>
          <w:szCs w:val="21"/>
        </w:rPr>
      </w:pPr>
      <w:r>
        <w:rPr>
          <w:rStyle w:val="15"/>
          <w:rFonts w:hint="eastAsia"/>
          <w:b w:val="0"/>
          <w:sz w:val="21"/>
          <w:szCs w:val="21"/>
        </w:rPr>
        <w:t>※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社会实践1周，由校团委作统一部署，</w:t>
      </w:r>
      <w:r>
        <w:rPr>
          <w:rFonts w:hint="eastAsia" w:cs="宋体"/>
          <w:sz w:val="21"/>
          <w:szCs w:val="21"/>
        </w:rPr>
        <w:t>机动含军训、社会实践、毕业考试、</w:t>
      </w:r>
      <w:r>
        <w:rPr>
          <w:rFonts w:cs="宋体"/>
          <w:sz w:val="21"/>
          <w:szCs w:val="21"/>
        </w:rPr>
        <w:t>公益劳动</w:t>
      </w:r>
      <w:r>
        <w:rPr>
          <w:rFonts w:hint="eastAsia" w:cs="宋体"/>
          <w:sz w:val="21"/>
          <w:szCs w:val="21"/>
        </w:rPr>
        <w:t>等其他环节。</w:t>
      </w:r>
    </w:p>
    <w:p>
      <w:pPr>
        <w:pStyle w:val="13"/>
        <w:spacing w:before="0" w:beforeAutospacing="0" w:after="0" w:afterAutospacing="0" w:line="340" w:lineRule="exact"/>
        <w:jc w:val="both"/>
        <w:rPr>
          <w:rStyle w:val="15"/>
        </w:rPr>
      </w:pPr>
      <w:r>
        <w:rPr>
          <w:rStyle w:val="15"/>
          <w:rFonts w:hint="eastAsia"/>
        </w:rPr>
        <w:t>七、毕业与学位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Style w:val="15"/>
          <w:rFonts w:ascii="Times New Roman" w:hAnsi="Times New Roman"/>
          <w:b w:val="0"/>
        </w:rPr>
      </w:pPr>
      <w:r>
        <w:rPr>
          <w:rFonts w:ascii="Times New Roman"/>
          <w:bCs/>
        </w:rPr>
        <w:t>学生达到以下条件的，可毕业并授予学位。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  <w:rPr>
          <w:rStyle w:val="15"/>
          <w:rFonts w:ascii="Times New Roman" w:hAnsi="Times New Roman"/>
          <w:b w:val="0"/>
        </w:rPr>
      </w:pPr>
      <w:r>
        <w:rPr>
          <w:rStyle w:val="15"/>
          <w:rFonts w:ascii="Times New Roman"/>
          <w:b w:val="0"/>
        </w:rPr>
        <w:t>在学校规定</w:t>
      </w:r>
      <w:r>
        <w:rPr>
          <w:rStyle w:val="15"/>
          <w:rFonts w:hint="eastAsia" w:ascii="Times New Roman"/>
          <w:b w:val="0"/>
        </w:rPr>
        <w:t>的</w:t>
      </w:r>
      <w:r>
        <w:rPr>
          <w:rStyle w:val="15"/>
          <w:rFonts w:ascii="Times New Roman"/>
          <w:b w:val="0"/>
        </w:rPr>
        <w:t>修业年限内修完全部必修课程，成绩合格，</w:t>
      </w:r>
      <w:r>
        <w:rPr>
          <w:rFonts w:ascii="Times New Roman"/>
          <w:bCs/>
        </w:rPr>
        <w:t>限选课程修满</w:t>
      </w:r>
      <w:r>
        <w:rPr>
          <w:rFonts w:hint="eastAsia" w:ascii="Times New Roman"/>
          <w:bCs/>
        </w:rPr>
        <w:t>1</w:t>
      </w:r>
      <w:r>
        <w:rPr>
          <w:rFonts w:hint="default" w:ascii="Times New Roman"/>
          <w:bCs/>
        </w:rPr>
        <w:t>2</w:t>
      </w:r>
      <w:bookmarkStart w:id="0" w:name="_GoBack"/>
      <w:bookmarkEnd w:id="0"/>
      <w:r>
        <w:rPr>
          <w:rFonts w:ascii="Times New Roman"/>
          <w:bCs/>
        </w:rPr>
        <w:t>学分，公共任选课</w:t>
      </w:r>
      <w:r>
        <w:rPr>
          <w:rStyle w:val="15"/>
          <w:rFonts w:ascii="Times New Roman"/>
          <w:b w:val="0"/>
        </w:rPr>
        <w:t>修满</w:t>
      </w:r>
      <w:r>
        <w:rPr>
          <w:rStyle w:val="15"/>
          <w:rFonts w:hint="eastAsia" w:ascii="Times New Roman" w:hAnsi="Times New Roman"/>
          <w:b w:val="0"/>
        </w:rPr>
        <w:t>5</w:t>
      </w:r>
      <w:r>
        <w:rPr>
          <w:rStyle w:val="15"/>
          <w:rFonts w:ascii="Times New Roman"/>
          <w:b w:val="0"/>
        </w:rPr>
        <w:t>学分，</w:t>
      </w:r>
      <w:r>
        <w:rPr>
          <w:rFonts w:asciiTheme="minorEastAsia" w:hAnsiTheme="minorEastAsia" w:eastAsiaTheme="minorEastAsia"/>
        </w:rPr>
        <w:t>完成综合技能培训、社会实践、创新创业素质拓展并获相应学分，</w:t>
      </w:r>
      <w:r>
        <w:rPr>
          <w:rFonts w:hint="eastAsia" w:asciiTheme="minorEastAsia" w:hAnsiTheme="minorEastAsia" w:eastAsiaTheme="minorEastAsia"/>
        </w:rPr>
        <w:t>并</w:t>
      </w:r>
      <w:r>
        <w:rPr>
          <w:rStyle w:val="15"/>
          <w:rFonts w:ascii="Times New Roman"/>
          <w:b w:val="0"/>
        </w:rPr>
        <w:t>通过</w:t>
      </w:r>
      <w:r>
        <w:rPr>
          <w:rStyle w:val="15"/>
          <w:rFonts w:hint="eastAsia" w:ascii="Times New Roman"/>
          <w:b w:val="0"/>
        </w:rPr>
        <w:t>专业综合考试、</w:t>
      </w:r>
      <w:r>
        <w:rPr>
          <w:rStyle w:val="15"/>
          <w:rFonts w:ascii="Times New Roman"/>
          <w:b w:val="0"/>
        </w:rPr>
        <w:t>毕业实习</w:t>
      </w:r>
      <w:r>
        <w:rPr>
          <w:rStyle w:val="15"/>
          <w:rFonts w:hint="eastAsia" w:ascii="Times New Roman"/>
          <w:b w:val="0"/>
        </w:rPr>
        <w:t>、</w:t>
      </w:r>
      <w:r>
        <w:rPr>
          <w:rStyle w:val="15"/>
          <w:rFonts w:ascii="Times New Roman"/>
          <w:b w:val="0"/>
        </w:rPr>
        <w:t>毕业论文答辩</w:t>
      </w:r>
      <w:r>
        <w:rPr>
          <w:rStyle w:val="15"/>
          <w:rFonts w:hint="eastAsia" w:ascii="Times New Roman"/>
          <w:b w:val="0"/>
        </w:rPr>
        <w:t>，</w:t>
      </w:r>
      <w:r>
        <w:rPr>
          <w:rStyle w:val="15"/>
          <w:rFonts w:ascii="Times New Roman"/>
          <w:b w:val="0"/>
        </w:rPr>
        <w:t>总学分达8</w:t>
      </w:r>
      <w:r>
        <w:rPr>
          <w:rStyle w:val="15"/>
          <w:rFonts w:ascii="Times New Roman"/>
          <w:b w:val="0"/>
        </w:rPr>
        <w:t>1</w:t>
      </w:r>
      <w:r>
        <w:rPr>
          <w:rStyle w:val="15"/>
          <w:rFonts w:hint="eastAsia" w:ascii="Times New Roman"/>
          <w:b w:val="0"/>
          <w:lang w:val="en-US" w:eastAsia="zh-Hans"/>
        </w:rPr>
        <w:t>.</w:t>
      </w:r>
      <w:r>
        <w:rPr>
          <w:rStyle w:val="15"/>
          <w:rFonts w:hint="default" w:ascii="Times New Roman"/>
          <w:b w:val="0"/>
          <w:lang w:eastAsia="zh-Hans"/>
        </w:rPr>
        <w:t>5</w:t>
      </w:r>
      <w:r>
        <w:rPr>
          <w:rStyle w:val="15"/>
          <w:rFonts w:ascii="Times New Roman"/>
          <w:b w:val="0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>
      <w:pPr>
        <w:pStyle w:val="13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八、毕业去向</w:t>
      </w:r>
    </w:p>
    <w:p>
      <w:pPr>
        <w:pStyle w:val="13"/>
        <w:spacing w:before="0" w:beforeAutospacing="0" w:after="0" w:afterAutospacing="0" w:line="340" w:lineRule="exact"/>
        <w:ind w:firstLine="480" w:firstLineChars="200"/>
        <w:jc w:val="both"/>
      </w:pPr>
      <w:r>
        <w:rPr>
          <w:rFonts w:hint="eastAsia"/>
        </w:rPr>
        <w:t>药学专升本毕业生应具有</w:t>
      </w:r>
      <w:r>
        <w:t>较</w:t>
      </w:r>
      <w:r>
        <w:rPr>
          <w:rFonts w:hint="eastAsia"/>
        </w:rPr>
        <w:t>为扎实和完善</w:t>
      </w:r>
      <w:r>
        <w:t>的</w:t>
      </w:r>
      <w:r>
        <w:rPr>
          <w:rFonts w:hint="eastAsia"/>
        </w:rPr>
        <w:t>药学基本理论知识和较强的专业实践能力，能够在科研院所、药品生产企业、药品经营企业、医疗机构、药品监督管理机构等部门从事科研、生产、销售、药学服务和药事管理等方面的工作。</w:t>
      </w:r>
    </w:p>
    <w:p>
      <w:pPr>
        <w:pStyle w:val="13"/>
        <w:spacing w:before="0" w:beforeAutospacing="0" w:after="0" w:afterAutospacing="0" w:line="340" w:lineRule="exact"/>
        <w:jc w:val="both"/>
        <w:rPr>
          <w:b/>
        </w:rPr>
      </w:pPr>
      <w:r>
        <w:rPr>
          <w:rFonts w:hint="eastAsia"/>
          <w:b/>
        </w:rPr>
        <w:t>九、教学进程</w:t>
      </w:r>
    </w:p>
    <w:sectPr>
      <w:footerReference r:id="rId3" w:type="default"/>
      <w:footerReference r:id="rId4" w:type="even"/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>
    <w:pPr>
      <w:pStyle w:val="9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6419"/>
    <w:rsid w:val="0002272B"/>
    <w:rsid w:val="000273E0"/>
    <w:rsid w:val="00037434"/>
    <w:rsid w:val="00055692"/>
    <w:rsid w:val="000625F1"/>
    <w:rsid w:val="00067AE7"/>
    <w:rsid w:val="000870F7"/>
    <w:rsid w:val="000909DF"/>
    <w:rsid w:val="000A3718"/>
    <w:rsid w:val="000C0A37"/>
    <w:rsid w:val="000C6049"/>
    <w:rsid w:val="000E0C7F"/>
    <w:rsid w:val="000E6BB8"/>
    <w:rsid w:val="000F4120"/>
    <w:rsid w:val="001034C3"/>
    <w:rsid w:val="001075E9"/>
    <w:rsid w:val="001169A8"/>
    <w:rsid w:val="00130D98"/>
    <w:rsid w:val="001321C3"/>
    <w:rsid w:val="00142A4F"/>
    <w:rsid w:val="001439DA"/>
    <w:rsid w:val="00145742"/>
    <w:rsid w:val="001558C7"/>
    <w:rsid w:val="00157FBA"/>
    <w:rsid w:val="00172A27"/>
    <w:rsid w:val="00172EA5"/>
    <w:rsid w:val="00175DA9"/>
    <w:rsid w:val="00182E9D"/>
    <w:rsid w:val="00193331"/>
    <w:rsid w:val="0019366C"/>
    <w:rsid w:val="001966CB"/>
    <w:rsid w:val="001977D2"/>
    <w:rsid w:val="001A12E4"/>
    <w:rsid w:val="001D3140"/>
    <w:rsid w:val="001E72AC"/>
    <w:rsid w:val="0020299E"/>
    <w:rsid w:val="0020556D"/>
    <w:rsid w:val="00206538"/>
    <w:rsid w:val="00216A95"/>
    <w:rsid w:val="0021745F"/>
    <w:rsid w:val="00225704"/>
    <w:rsid w:val="00230873"/>
    <w:rsid w:val="00245574"/>
    <w:rsid w:val="002468DF"/>
    <w:rsid w:val="002731F5"/>
    <w:rsid w:val="00280807"/>
    <w:rsid w:val="00287F23"/>
    <w:rsid w:val="00297DD4"/>
    <w:rsid w:val="002B46FC"/>
    <w:rsid w:val="002B5DD3"/>
    <w:rsid w:val="002D0845"/>
    <w:rsid w:val="002D465F"/>
    <w:rsid w:val="002E6CDD"/>
    <w:rsid w:val="003106B1"/>
    <w:rsid w:val="00344C3A"/>
    <w:rsid w:val="003466CB"/>
    <w:rsid w:val="0039134D"/>
    <w:rsid w:val="003B28CB"/>
    <w:rsid w:val="003E35CD"/>
    <w:rsid w:val="003E418D"/>
    <w:rsid w:val="003E433C"/>
    <w:rsid w:val="003F661A"/>
    <w:rsid w:val="0040582B"/>
    <w:rsid w:val="00406005"/>
    <w:rsid w:val="0042702E"/>
    <w:rsid w:val="00431257"/>
    <w:rsid w:val="00431CAF"/>
    <w:rsid w:val="00436FAA"/>
    <w:rsid w:val="00444FF8"/>
    <w:rsid w:val="004469B6"/>
    <w:rsid w:val="00446B88"/>
    <w:rsid w:val="00461B17"/>
    <w:rsid w:val="00472850"/>
    <w:rsid w:val="00474939"/>
    <w:rsid w:val="004776D8"/>
    <w:rsid w:val="004904D6"/>
    <w:rsid w:val="00490CF9"/>
    <w:rsid w:val="00492CE8"/>
    <w:rsid w:val="004A38CD"/>
    <w:rsid w:val="004A4F29"/>
    <w:rsid w:val="004A585F"/>
    <w:rsid w:val="004B06E8"/>
    <w:rsid w:val="004B1AD6"/>
    <w:rsid w:val="004C1D02"/>
    <w:rsid w:val="004D6DB2"/>
    <w:rsid w:val="004E2217"/>
    <w:rsid w:val="004E4C3C"/>
    <w:rsid w:val="004E5083"/>
    <w:rsid w:val="0050037C"/>
    <w:rsid w:val="00524337"/>
    <w:rsid w:val="00530295"/>
    <w:rsid w:val="00532959"/>
    <w:rsid w:val="00534A50"/>
    <w:rsid w:val="00554306"/>
    <w:rsid w:val="00554AD6"/>
    <w:rsid w:val="005617F5"/>
    <w:rsid w:val="00563836"/>
    <w:rsid w:val="005805BA"/>
    <w:rsid w:val="00583420"/>
    <w:rsid w:val="00585A71"/>
    <w:rsid w:val="00596210"/>
    <w:rsid w:val="005A1BC1"/>
    <w:rsid w:val="005D0C56"/>
    <w:rsid w:val="005E216B"/>
    <w:rsid w:val="005E3D9D"/>
    <w:rsid w:val="005E5F5B"/>
    <w:rsid w:val="005F1451"/>
    <w:rsid w:val="00620C50"/>
    <w:rsid w:val="00624435"/>
    <w:rsid w:val="00630E78"/>
    <w:rsid w:val="00631652"/>
    <w:rsid w:val="006377BA"/>
    <w:rsid w:val="00645356"/>
    <w:rsid w:val="0064608E"/>
    <w:rsid w:val="00650D4A"/>
    <w:rsid w:val="00654485"/>
    <w:rsid w:val="006555D9"/>
    <w:rsid w:val="00657B64"/>
    <w:rsid w:val="006673E8"/>
    <w:rsid w:val="0069453F"/>
    <w:rsid w:val="006A1304"/>
    <w:rsid w:val="006A5AB9"/>
    <w:rsid w:val="006B1620"/>
    <w:rsid w:val="006B45AB"/>
    <w:rsid w:val="006C3E94"/>
    <w:rsid w:val="006D44D4"/>
    <w:rsid w:val="006E6D50"/>
    <w:rsid w:val="006F437B"/>
    <w:rsid w:val="006F4F2B"/>
    <w:rsid w:val="0070534C"/>
    <w:rsid w:val="0072039B"/>
    <w:rsid w:val="0072041D"/>
    <w:rsid w:val="00723790"/>
    <w:rsid w:val="007876F5"/>
    <w:rsid w:val="00792D1E"/>
    <w:rsid w:val="00792E25"/>
    <w:rsid w:val="00796BED"/>
    <w:rsid w:val="007A0FF7"/>
    <w:rsid w:val="007A2E64"/>
    <w:rsid w:val="007A317C"/>
    <w:rsid w:val="007B01FE"/>
    <w:rsid w:val="007C1185"/>
    <w:rsid w:val="007D6FF3"/>
    <w:rsid w:val="00810B69"/>
    <w:rsid w:val="008125EE"/>
    <w:rsid w:val="008354FD"/>
    <w:rsid w:val="008371BD"/>
    <w:rsid w:val="008437EF"/>
    <w:rsid w:val="00854572"/>
    <w:rsid w:val="00862828"/>
    <w:rsid w:val="008658EB"/>
    <w:rsid w:val="00871A43"/>
    <w:rsid w:val="00875632"/>
    <w:rsid w:val="00891B68"/>
    <w:rsid w:val="008A0C76"/>
    <w:rsid w:val="008A5B79"/>
    <w:rsid w:val="008A7FBE"/>
    <w:rsid w:val="008C2550"/>
    <w:rsid w:val="008C5257"/>
    <w:rsid w:val="008D2DDA"/>
    <w:rsid w:val="008E04AB"/>
    <w:rsid w:val="008F202B"/>
    <w:rsid w:val="008F7D11"/>
    <w:rsid w:val="00900F42"/>
    <w:rsid w:val="0092333F"/>
    <w:rsid w:val="0092477D"/>
    <w:rsid w:val="00927C09"/>
    <w:rsid w:val="00934583"/>
    <w:rsid w:val="009372A4"/>
    <w:rsid w:val="009525C2"/>
    <w:rsid w:val="00964F0D"/>
    <w:rsid w:val="009662FB"/>
    <w:rsid w:val="00966B31"/>
    <w:rsid w:val="009761FC"/>
    <w:rsid w:val="00990784"/>
    <w:rsid w:val="00997322"/>
    <w:rsid w:val="009A662E"/>
    <w:rsid w:val="009B36AF"/>
    <w:rsid w:val="009B46E2"/>
    <w:rsid w:val="009C308A"/>
    <w:rsid w:val="009C7619"/>
    <w:rsid w:val="009D1CF0"/>
    <w:rsid w:val="009D2801"/>
    <w:rsid w:val="009D4801"/>
    <w:rsid w:val="009E0BD2"/>
    <w:rsid w:val="009E2C6E"/>
    <w:rsid w:val="009E54C6"/>
    <w:rsid w:val="00A07761"/>
    <w:rsid w:val="00A159A8"/>
    <w:rsid w:val="00A201F6"/>
    <w:rsid w:val="00A213D5"/>
    <w:rsid w:val="00A26E1F"/>
    <w:rsid w:val="00A27FBC"/>
    <w:rsid w:val="00A42797"/>
    <w:rsid w:val="00A6724D"/>
    <w:rsid w:val="00A81D0B"/>
    <w:rsid w:val="00A83462"/>
    <w:rsid w:val="00A866C2"/>
    <w:rsid w:val="00A96406"/>
    <w:rsid w:val="00AA6346"/>
    <w:rsid w:val="00AA6804"/>
    <w:rsid w:val="00AB27C8"/>
    <w:rsid w:val="00AB4D12"/>
    <w:rsid w:val="00AD38BF"/>
    <w:rsid w:val="00AD5969"/>
    <w:rsid w:val="00AE0D84"/>
    <w:rsid w:val="00AE30F1"/>
    <w:rsid w:val="00AE518F"/>
    <w:rsid w:val="00AE5509"/>
    <w:rsid w:val="00AF2A68"/>
    <w:rsid w:val="00B021DC"/>
    <w:rsid w:val="00B030FA"/>
    <w:rsid w:val="00B0741D"/>
    <w:rsid w:val="00B07F79"/>
    <w:rsid w:val="00B2463C"/>
    <w:rsid w:val="00B249AA"/>
    <w:rsid w:val="00B25AE3"/>
    <w:rsid w:val="00B3014C"/>
    <w:rsid w:val="00B33032"/>
    <w:rsid w:val="00B34001"/>
    <w:rsid w:val="00B52FC0"/>
    <w:rsid w:val="00B53DD4"/>
    <w:rsid w:val="00B56389"/>
    <w:rsid w:val="00B608CF"/>
    <w:rsid w:val="00B6653D"/>
    <w:rsid w:val="00B7243D"/>
    <w:rsid w:val="00B750A9"/>
    <w:rsid w:val="00B81E75"/>
    <w:rsid w:val="00B84F50"/>
    <w:rsid w:val="00B86159"/>
    <w:rsid w:val="00B8737E"/>
    <w:rsid w:val="00BA0423"/>
    <w:rsid w:val="00BA52D6"/>
    <w:rsid w:val="00BB110D"/>
    <w:rsid w:val="00BC2D98"/>
    <w:rsid w:val="00BD4C5E"/>
    <w:rsid w:val="00BE0927"/>
    <w:rsid w:val="00BE53F4"/>
    <w:rsid w:val="00BE6978"/>
    <w:rsid w:val="00C0016F"/>
    <w:rsid w:val="00C01229"/>
    <w:rsid w:val="00C01BE5"/>
    <w:rsid w:val="00C04D90"/>
    <w:rsid w:val="00C114DA"/>
    <w:rsid w:val="00C11523"/>
    <w:rsid w:val="00C21BBE"/>
    <w:rsid w:val="00C21DC1"/>
    <w:rsid w:val="00C43956"/>
    <w:rsid w:val="00C44468"/>
    <w:rsid w:val="00C4618D"/>
    <w:rsid w:val="00C515FF"/>
    <w:rsid w:val="00C75F6D"/>
    <w:rsid w:val="00C804A2"/>
    <w:rsid w:val="00C80A47"/>
    <w:rsid w:val="00C8109E"/>
    <w:rsid w:val="00C81BCE"/>
    <w:rsid w:val="00C967D2"/>
    <w:rsid w:val="00CB10AF"/>
    <w:rsid w:val="00CB1245"/>
    <w:rsid w:val="00CB2A79"/>
    <w:rsid w:val="00CB2CEB"/>
    <w:rsid w:val="00CB6CA5"/>
    <w:rsid w:val="00CB7E9E"/>
    <w:rsid w:val="00CD58B8"/>
    <w:rsid w:val="00CF29FC"/>
    <w:rsid w:val="00D050F1"/>
    <w:rsid w:val="00D10007"/>
    <w:rsid w:val="00D122A5"/>
    <w:rsid w:val="00D2086A"/>
    <w:rsid w:val="00D24D19"/>
    <w:rsid w:val="00D25E25"/>
    <w:rsid w:val="00D410AC"/>
    <w:rsid w:val="00D54215"/>
    <w:rsid w:val="00D60521"/>
    <w:rsid w:val="00D64514"/>
    <w:rsid w:val="00D65492"/>
    <w:rsid w:val="00D75503"/>
    <w:rsid w:val="00D75AF1"/>
    <w:rsid w:val="00D82ECD"/>
    <w:rsid w:val="00D90DC4"/>
    <w:rsid w:val="00D91135"/>
    <w:rsid w:val="00D91FEE"/>
    <w:rsid w:val="00D9217D"/>
    <w:rsid w:val="00D92D15"/>
    <w:rsid w:val="00DB270D"/>
    <w:rsid w:val="00DB6C0D"/>
    <w:rsid w:val="00DC2B3D"/>
    <w:rsid w:val="00DD3D80"/>
    <w:rsid w:val="00DE4AE6"/>
    <w:rsid w:val="00DF1BF6"/>
    <w:rsid w:val="00DF24E6"/>
    <w:rsid w:val="00E00FD5"/>
    <w:rsid w:val="00E02B63"/>
    <w:rsid w:val="00E0572E"/>
    <w:rsid w:val="00E104F4"/>
    <w:rsid w:val="00E11FD6"/>
    <w:rsid w:val="00E12579"/>
    <w:rsid w:val="00E17A85"/>
    <w:rsid w:val="00E36ECF"/>
    <w:rsid w:val="00E6411D"/>
    <w:rsid w:val="00E64959"/>
    <w:rsid w:val="00E93D72"/>
    <w:rsid w:val="00E94E4C"/>
    <w:rsid w:val="00EA011D"/>
    <w:rsid w:val="00EA02DB"/>
    <w:rsid w:val="00EA298C"/>
    <w:rsid w:val="00EA2BFA"/>
    <w:rsid w:val="00EC1509"/>
    <w:rsid w:val="00EC4FEB"/>
    <w:rsid w:val="00ED47AC"/>
    <w:rsid w:val="00EE5D3F"/>
    <w:rsid w:val="00EF13C8"/>
    <w:rsid w:val="00EF5431"/>
    <w:rsid w:val="00F005E7"/>
    <w:rsid w:val="00F16BBF"/>
    <w:rsid w:val="00F1739C"/>
    <w:rsid w:val="00F2271C"/>
    <w:rsid w:val="00F26363"/>
    <w:rsid w:val="00F278CD"/>
    <w:rsid w:val="00F31D5D"/>
    <w:rsid w:val="00F51E92"/>
    <w:rsid w:val="00F74A8E"/>
    <w:rsid w:val="00F76A92"/>
    <w:rsid w:val="00F94184"/>
    <w:rsid w:val="00FA0DFD"/>
    <w:rsid w:val="00FB6AF3"/>
    <w:rsid w:val="01420825"/>
    <w:rsid w:val="06240C74"/>
    <w:rsid w:val="07C106FE"/>
    <w:rsid w:val="08D27556"/>
    <w:rsid w:val="090026BE"/>
    <w:rsid w:val="09290D22"/>
    <w:rsid w:val="0A620D99"/>
    <w:rsid w:val="0B7F4DFC"/>
    <w:rsid w:val="0F9147EF"/>
    <w:rsid w:val="0FBA616A"/>
    <w:rsid w:val="100956D8"/>
    <w:rsid w:val="109B1B2E"/>
    <w:rsid w:val="11EB6060"/>
    <w:rsid w:val="13F57AEA"/>
    <w:rsid w:val="14E52A15"/>
    <w:rsid w:val="15140F2C"/>
    <w:rsid w:val="16AB5FE0"/>
    <w:rsid w:val="19517557"/>
    <w:rsid w:val="195310FE"/>
    <w:rsid w:val="1A55297E"/>
    <w:rsid w:val="1B9E426F"/>
    <w:rsid w:val="1C1968D9"/>
    <w:rsid w:val="1C97318B"/>
    <w:rsid w:val="1D6B25D6"/>
    <w:rsid w:val="1D9B0285"/>
    <w:rsid w:val="1F0C5D6F"/>
    <w:rsid w:val="20FF1023"/>
    <w:rsid w:val="22A2177C"/>
    <w:rsid w:val="26062FB1"/>
    <w:rsid w:val="268B107F"/>
    <w:rsid w:val="27BB0ADC"/>
    <w:rsid w:val="2B365E79"/>
    <w:rsid w:val="2B864897"/>
    <w:rsid w:val="2D4352B3"/>
    <w:rsid w:val="2D702B0C"/>
    <w:rsid w:val="2DB921CC"/>
    <w:rsid w:val="30140809"/>
    <w:rsid w:val="309C3629"/>
    <w:rsid w:val="30E72A99"/>
    <w:rsid w:val="31747656"/>
    <w:rsid w:val="38AE5D49"/>
    <w:rsid w:val="38D930B2"/>
    <w:rsid w:val="39702E09"/>
    <w:rsid w:val="3B9A0F2B"/>
    <w:rsid w:val="3BA809CB"/>
    <w:rsid w:val="3D2C07A8"/>
    <w:rsid w:val="3DD93F93"/>
    <w:rsid w:val="3EC1080E"/>
    <w:rsid w:val="40911DCD"/>
    <w:rsid w:val="438E2A8F"/>
    <w:rsid w:val="49A062E9"/>
    <w:rsid w:val="4B165692"/>
    <w:rsid w:val="4FE93886"/>
    <w:rsid w:val="50936CAD"/>
    <w:rsid w:val="513D13C0"/>
    <w:rsid w:val="56E274F6"/>
    <w:rsid w:val="57602A43"/>
    <w:rsid w:val="57D81A72"/>
    <w:rsid w:val="58B67144"/>
    <w:rsid w:val="5A663F3D"/>
    <w:rsid w:val="5CE90997"/>
    <w:rsid w:val="5ED666AC"/>
    <w:rsid w:val="60116001"/>
    <w:rsid w:val="64030035"/>
    <w:rsid w:val="64407309"/>
    <w:rsid w:val="69713244"/>
    <w:rsid w:val="6E503F04"/>
    <w:rsid w:val="70396B62"/>
    <w:rsid w:val="72683118"/>
    <w:rsid w:val="729E0D1B"/>
    <w:rsid w:val="735121D0"/>
    <w:rsid w:val="747117C3"/>
    <w:rsid w:val="754123C9"/>
    <w:rsid w:val="75E58535"/>
    <w:rsid w:val="762144D4"/>
    <w:rsid w:val="78AA358B"/>
    <w:rsid w:val="96AFE2FA"/>
    <w:rsid w:val="9EB5961A"/>
    <w:rsid w:val="D7FE09ED"/>
    <w:rsid w:val="DBDFF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exact"/>
      <w:ind w:left="2110" w:leftChars="333" w:hanging="1411" w:hangingChars="588"/>
    </w:pPr>
    <w:rPr>
      <w:rFonts w:ascii="宋体" w:hAnsi="宋体"/>
      <w:color w:val="000000"/>
      <w:kern w:val="0"/>
      <w:sz w:val="24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0"/>
    <w:pPr>
      <w:spacing w:line="700" w:lineRule="exact"/>
      <w:jc w:val="distribute"/>
    </w:pPr>
    <w:rPr>
      <w:color w:val="000000"/>
      <w:sz w:val="28"/>
      <w:szCs w:val="2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99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FollowedHyperlink"/>
    <w:qFormat/>
    <w:uiPriority w:val="0"/>
    <w:rPr>
      <w:color w:val="800080"/>
      <w:u w:val="single"/>
    </w:rPr>
  </w:style>
  <w:style w:type="character" w:styleId="18">
    <w:name w:val="Hyperlink"/>
    <w:qFormat/>
    <w:uiPriority w:val="0"/>
    <w:rPr>
      <w:color w:val="0000FF"/>
      <w:u w:val="single"/>
    </w:rPr>
  </w:style>
  <w:style w:type="character" w:customStyle="1" w:styleId="20">
    <w:name w:val="页眉 Char"/>
    <w:link w:val="10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2">
    <w:name w:val="xl5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3">
    <w:name w:val="xl5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4">
    <w:name w:val="xl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5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6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7">
    <w:name w:val="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8">
    <w:name w:val="xl5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9">
    <w:name w:val="xl3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1">
    <w:name w:val="样式2"/>
    <w:basedOn w:val="1"/>
    <w:qFormat/>
    <w:uiPriority w:val="0"/>
    <w:pPr>
      <w:spacing w:line="440" w:lineRule="exact"/>
      <w:ind w:firstLine="432"/>
    </w:pPr>
    <w:rPr>
      <w:rFonts w:ascii="宋体" w:hAnsi="宋体"/>
      <w:b/>
      <w:color w:val="FF00FF"/>
      <w:sz w:val="24"/>
    </w:rPr>
  </w:style>
  <w:style w:type="paragraph" w:customStyle="1" w:styleId="32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3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4">
    <w:name w:val="xl5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5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6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7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8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3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0">
    <w:name w:val="xl5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2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3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4">
    <w:name w:val="xl5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5">
    <w:name w:val="xl4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6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47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8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9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50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1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2">
    <w:name w:val="xl4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3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4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kern w:val="0"/>
      <w:sz w:val="18"/>
      <w:szCs w:val="18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56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7">
    <w:name w:val="xl5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24"/>
    </w:rPr>
  </w:style>
  <w:style w:type="paragraph" w:customStyle="1" w:styleId="58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9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1681</Characters>
  <Lines>14</Lines>
  <Paragraphs>3</Paragraphs>
  <ScaleCrop>false</ScaleCrop>
  <LinksUpToDate>false</LinksUpToDate>
  <CharactersWithSpaces>1972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2018-10-10T19:47:00Z</dcterms:created>
  <dc:creator>LH</dc:creator>
  <cp:lastModifiedBy>liuwei</cp:lastModifiedBy>
  <cp:lastPrinted>2020-06-30T00:43:00Z</cp:lastPrinted>
  <dcterms:modified xsi:type="dcterms:W3CDTF">2021-06-07T21:38:18Z</dcterms:modified>
  <dc:title>五年制药学专业（临床药学方向）人才培养方案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</Properties>
</file>