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D1" w:rsidRPr="006626E5" w:rsidRDefault="006626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626E5">
        <w:rPr>
          <w:rFonts w:hint="eastAsia"/>
          <w:sz w:val="28"/>
          <w:szCs w:val="28"/>
        </w:rPr>
        <w:t>新时期高素质教学队伍建设与教学管理模式改革创新研修班</w:t>
      </w:r>
      <w:r w:rsidRPr="006626E5">
        <w:rPr>
          <w:rFonts w:hint="eastAsia"/>
          <w:sz w:val="28"/>
          <w:szCs w:val="28"/>
        </w:rPr>
        <w:t>课程安排：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4"/>
        <w:gridCol w:w="869"/>
        <w:gridCol w:w="705"/>
        <w:gridCol w:w="5785"/>
      </w:tblGrid>
      <w:tr w:rsidR="006626E5" w:rsidTr="000A6F9D">
        <w:trPr>
          <w:trHeight w:val="396"/>
          <w:jc w:val="center"/>
        </w:trPr>
        <w:tc>
          <w:tcPr>
            <w:tcW w:w="1684" w:type="dxa"/>
            <w:shd w:val="clear" w:color="auto" w:fill="EBEEBF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7359" w:type="dxa"/>
            <w:gridSpan w:val="3"/>
            <w:shd w:val="clear" w:color="auto" w:fill="EBEEBF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活动内容及安排</w:t>
            </w:r>
          </w:p>
        </w:tc>
      </w:tr>
      <w:tr w:rsidR="006626E5" w:rsidTr="000A6F9D">
        <w:trPr>
          <w:trHeight w:val="430"/>
          <w:jc w:val="center"/>
        </w:trPr>
        <w:tc>
          <w:tcPr>
            <w:tcW w:w="1684" w:type="dxa"/>
            <w:vMerge w:val="restart"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11月19日</w:t>
            </w:r>
          </w:p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9：00—11：00</w:t>
            </w:r>
          </w:p>
        </w:tc>
        <w:tc>
          <w:tcPr>
            <w:tcW w:w="869" w:type="dxa"/>
            <w:vMerge w:val="restart"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教育</w:t>
            </w:r>
          </w:p>
          <w:p w:rsidR="006626E5" w:rsidRDefault="006626E5" w:rsidP="000A6F9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理念</w:t>
            </w:r>
          </w:p>
        </w:tc>
        <w:tc>
          <w:tcPr>
            <w:tcW w:w="70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578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【教育理念、素养职责、关键环节】</w:t>
            </w:r>
          </w:p>
          <w:p w:rsidR="006626E5" w:rsidRDefault="006626E5" w:rsidP="000A6F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培养方案与课程大纲管理</w:t>
            </w:r>
          </w:p>
          <w:p w:rsidR="006626E5" w:rsidRDefault="006626E5" w:rsidP="000A6F9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课程教学与学业评价管理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3、校外实践与毕业论文管理</w:t>
            </w:r>
          </w:p>
        </w:tc>
      </w:tr>
      <w:tr w:rsidR="006626E5" w:rsidTr="000A6F9D">
        <w:trPr>
          <w:trHeight w:val="90"/>
          <w:jc w:val="center"/>
        </w:trPr>
        <w:tc>
          <w:tcPr>
            <w:tcW w:w="1684" w:type="dxa"/>
            <w:vMerge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9" w:type="dxa"/>
            <w:vMerge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</w:t>
            </w:r>
          </w:p>
        </w:tc>
        <w:tc>
          <w:tcPr>
            <w:tcW w:w="578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吴能表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西南大学教务处处长</w:t>
            </w:r>
          </w:p>
        </w:tc>
      </w:tr>
      <w:tr w:rsidR="006626E5" w:rsidTr="000A6F9D">
        <w:trPr>
          <w:trHeight w:val="505"/>
          <w:jc w:val="center"/>
        </w:trPr>
        <w:tc>
          <w:tcPr>
            <w:tcW w:w="1684" w:type="dxa"/>
            <w:vMerge w:val="restart"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11月19日</w:t>
            </w:r>
          </w:p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14：00—16：00</w:t>
            </w:r>
          </w:p>
        </w:tc>
        <w:tc>
          <w:tcPr>
            <w:tcW w:w="869" w:type="dxa"/>
            <w:vMerge w:val="restart"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智慧</w:t>
            </w:r>
          </w:p>
          <w:p w:rsidR="006626E5" w:rsidRDefault="006626E5" w:rsidP="000A6F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</w:t>
            </w:r>
          </w:p>
        </w:tc>
        <w:tc>
          <w:tcPr>
            <w:tcW w:w="70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578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>
              <w:rPr>
                <w:szCs w:val="21"/>
              </w:rPr>
              <w:t>技术赋能，开放共享</w:t>
            </w:r>
            <w:r>
              <w:rPr>
                <w:szCs w:val="21"/>
              </w:rPr>
              <w:t>———</w:t>
            </w:r>
            <w:r>
              <w:rPr>
                <w:szCs w:val="21"/>
              </w:rPr>
              <w:t>数字化时代的教学与管理</w:t>
            </w:r>
            <w:r>
              <w:rPr>
                <w:rFonts w:ascii="宋体" w:hAnsi="宋体" w:cs="宋体" w:hint="eastAsia"/>
                <w:szCs w:val="21"/>
              </w:rPr>
              <w:t>】1、结合重庆大学的教学管理实践谈智慧教育本质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2、智慧生态建设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3、技术赋能教师</w:t>
            </w:r>
          </w:p>
          <w:p w:rsidR="006626E5" w:rsidRDefault="006626E5" w:rsidP="000A6F9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4、智慧教育展望</w:t>
            </w:r>
          </w:p>
        </w:tc>
      </w:tr>
      <w:tr w:rsidR="006626E5" w:rsidTr="000A6F9D">
        <w:trPr>
          <w:trHeight w:val="597"/>
          <w:jc w:val="center"/>
        </w:trPr>
        <w:tc>
          <w:tcPr>
            <w:tcW w:w="1684" w:type="dxa"/>
            <w:vMerge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9" w:type="dxa"/>
            <w:vMerge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0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</w:t>
            </w:r>
          </w:p>
        </w:tc>
        <w:tc>
          <w:tcPr>
            <w:tcW w:w="578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李正良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重庆大学教务处处长</w:t>
            </w:r>
          </w:p>
        </w:tc>
      </w:tr>
      <w:tr w:rsidR="006626E5" w:rsidTr="000A6F9D">
        <w:trPr>
          <w:trHeight w:val="482"/>
          <w:jc w:val="center"/>
        </w:trPr>
        <w:tc>
          <w:tcPr>
            <w:tcW w:w="1684" w:type="dxa"/>
            <w:vMerge w:val="restart"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11月20日</w:t>
            </w:r>
          </w:p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9：00—11：00</w:t>
            </w:r>
          </w:p>
        </w:tc>
        <w:tc>
          <w:tcPr>
            <w:tcW w:w="869" w:type="dxa"/>
            <w:vMerge w:val="restart"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</w:t>
            </w:r>
          </w:p>
          <w:p w:rsidR="006626E5" w:rsidRDefault="006626E5" w:rsidP="000A6F9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思路</w:t>
            </w:r>
          </w:p>
        </w:tc>
        <w:tc>
          <w:tcPr>
            <w:tcW w:w="70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578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【高校二级教学单位教学管理工作思路与实践】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1、管理工作的三个阶段与三种类型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2、管理效能：文件理解与落实</w:t>
            </w:r>
          </w:p>
          <w:p w:rsidR="006626E5" w:rsidRDefault="006626E5" w:rsidP="000A6F9D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3、二级教学单位的动力和活力</w:t>
            </w:r>
          </w:p>
          <w:p w:rsidR="006626E5" w:rsidRDefault="006626E5" w:rsidP="000A6F9D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4、二级教学单位的谋划力、执行力和凝聚力</w:t>
            </w:r>
          </w:p>
        </w:tc>
      </w:tr>
      <w:tr w:rsidR="006626E5" w:rsidTr="000A6F9D">
        <w:trPr>
          <w:trHeight w:val="90"/>
          <w:jc w:val="center"/>
        </w:trPr>
        <w:tc>
          <w:tcPr>
            <w:tcW w:w="1684" w:type="dxa"/>
            <w:vMerge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9" w:type="dxa"/>
            <w:vMerge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hint="eastAsia"/>
                <w:color w:val="C00000"/>
                <w:szCs w:val="21"/>
              </w:rPr>
            </w:pPr>
          </w:p>
        </w:tc>
        <w:tc>
          <w:tcPr>
            <w:tcW w:w="70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</w:t>
            </w:r>
          </w:p>
        </w:tc>
        <w:tc>
          <w:tcPr>
            <w:tcW w:w="578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</w:pPr>
            <w:r>
              <w:rPr>
                <w:rFonts w:hint="eastAsia"/>
              </w:rPr>
              <w:t>郭建校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天津外国语大学国际商学院院长</w:t>
            </w:r>
          </w:p>
        </w:tc>
      </w:tr>
      <w:tr w:rsidR="006626E5" w:rsidTr="000A6F9D">
        <w:trPr>
          <w:trHeight w:val="482"/>
          <w:jc w:val="center"/>
        </w:trPr>
        <w:tc>
          <w:tcPr>
            <w:tcW w:w="1684" w:type="dxa"/>
            <w:vMerge w:val="restart"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11月20日</w:t>
            </w:r>
          </w:p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14：00—16：00</w:t>
            </w:r>
          </w:p>
        </w:tc>
        <w:tc>
          <w:tcPr>
            <w:tcW w:w="869" w:type="dxa"/>
            <w:vMerge w:val="restart"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</w:t>
            </w:r>
          </w:p>
          <w:p w:rsidR="006626E5" w:rsidRDefault="006626E5" w:rsidP="000A6F9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发展</w:t>
            </w:r>
          </w:p>
        </w:tc>
        <w:tc>
          <w:tcPr>
            <w:tcW w:w="70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5785" w:type="dxa"/>
            <w:shd w:val="clear" w:color="auto" w:fill="C2D69B"/>
            <w:vAlign w:val="center"/>
          </w:tcPr>
          <w:p w:rsidR="006626E5" w:rsidRDefault="006626E5" w:rsidP="000A6F9D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【高校教师教学发展：国际视野与本土实践】</w:t>
            </w:r>
          </w:p>
          <w:p w:rsidR="006626E5" w:rsidRDefault="006626E5" w:rsidP="000A6F9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介绍高校教师教学发展的国际经验和特征</w:t>
            </w:r>
          </w:p>
          <w:p w:rsidR="006626E5" w:rsidRDefault="006626E5" w:rsidP="000A6F9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分析教学学术的内涵与特征</w:t>
            </w:r>
          </w:p>
          <w:p w:rsidR="006626E5" w:rsidRDefault="006626E5" w:rsidP="000A6F9D">
            <w:pPr>
              <w:spacing w:line="360" w:lineRule="auto"/>
              <w:jc w:val="left"/>
            </w:pPr>
            <w:r>
              <w:rPr>
                <w:rFonts w:ascii="宋体" w:hAnsi="宋体" w:cs="宋体" w:hint="eastAsia"/>
              </w:rPr>
              <w:t>3、结合国情，分享高校教师教学学术发展的路径与趋势</w:t>
            </w:r>
          </w:p>
        </w:tc>
      </w:tr>
      <w:tr w:rsidR="006626E5" w:rsidTr="000A6F9D">
        <w:trPr>
          <w:trHeight w:val="90"/>
          <w:jc w:val="center"/>
        </w:trPr>
        <w:tc>
          <w:tcPr>
            <w:tcW w:w="1684" w:type="dxa"/>
            <w:vMerge/>
            <w:shd w:val="clear" w:color="auto" w:fill="C2D69B"/>
            <w:vAlign w:val="center"/>
          </w:tcPr>
          <w:p w:rsidR="006626E5" w:rsidRDefault="006626E5" w:rsidP="000A6F9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9" w:type="dxa"/>
            <w:vMerge/>
            <w:shd w:val="clear" w:color="auto" w:fill="F6F5C5"/>
            <w:vAlign w:val="center"/>
          </w:tcPr>
          <w:p w:rsidR="006626E5" w:rsidRDefault="006626E5" w:rsidP="000A6F9D">
            <w:pPr>
              <w:jc w:val="center"/>
              <w:rPr>
                <w:rFonts w:hint="eastAsia"/>
                <w:color w:val="C00000"/>
                <w:szCs w:val="21"/>
              </w:rPr>
            </w:pPr>
          </w:p>
        </w:tc>
        <w:tc>
          <w:tcPr>
            <w:tcW w:w="70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</w:t>
            </w:r>
          </w:p>
        </w:tc>
        <w:tc>
          <w:tcPr>
            <w:tcW w:w="5785" w:type="dxa"/>
            <w:shd w:val="clear" w:color="auto" w:fill="EBEEBF"/>
            <w:vAlign w:val="center"/>
          </w:tcPr>
          <w:p w:rsidR="006626E5" w:rsidRDefault="006626E5" w:rsidP="000A6F9D">
            <w:pPr>
              <w:spacing w:line="360" w:lineRule="auto"/>
              <w:jc w:val="center"/>
            </w:pPr>
            <w:r>
              <w:rPr>
                <w:rFonts w:hint="eastAsia"/>
              </w:rPr>
              <w:t>庞海</w:t>
            </w:r>
            <w:proofErr w:type="gramStart"/>
            <w:r>
              <w:rPr>
                <w:rFonts w:hint="eastAsia"/>
              </w:rPr>
              <w:t>芍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北京理工大学教学促进与教师发展研究研究中心主任</w:t>
            </w:r>
          </w:p>
        </w:tc>
      </w:tr>
    </w:tbl>
    <w:p w:rsidR="006626E5" w:rsidRDefault="006626E5"/>
    <w:p w:rsidR="006626E5" w:rsidRDefault="006626E5"/>
    <w:p w:rsidR="006626E5" w:rsidRDefault="006626E5" w:rsidP="006626E5">
      <w:pPr>
        <w:pStyle w:val="a3"/>
        <w:spacing w:line="52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授课专家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：</w:t>
      </w:r>
    </w:p>
    <w:p w:rsidR="006626E5" w:rsidRDefault="006626E5" w:rsidP="006626E5">
      <w:pPr>
        <w:widowControl/>
        <w:spacing w:line="40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111125</wp:posOffset>
            </wp:positionV>
            <wp:extent cx="1764030" cy="1382395"/>
            <wp:effectExtent l="0" t="0" r="7620" b="8255"/>
            <wp:wrapTight wrapText="bothSides">
              <wp:wrapPolygon edited="0">
                <wp:start x="0" y="0"/>
                <wp:lineTo x="0" y="21431"/>
                <wp:lineTo x="21460" y="21431"/>
                <wp:lineTo x="21460" y="0"/>
                <wp:lineTo x="0" y="0"/>
              </wp:wrapPolygon>
            </wp:wrapTight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吴能表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，西南大学党委委员、教务处处长，全国高校榜样教务处长，教育部教学评估专家，教育部师范专业认证专家，重庆市人民政府督学，重庆市高校榜样教务处长，重庆市课程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思政教学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名师，重庆课程思政教指委副主任委员，西南大学教学督导委员会副主任委员，西南大学名师、成渝偶像教师。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长期致力于高等教育教学改革研究，对高校教育管理与教学改革、专业建设与课程建设、教学策略与教学方法、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课程思政与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教育评价、审核评估与师范专业认证、教师发展与教学培训，以及教学成果奖申报有深入的思考。</w:t>
      </w:r>
    </w:p>
    <w:p w:rsidR="006626E5" w:rsidRDefault="006626E5" w:rsidP="006626E5">
      <w:pPr>
        <w:widowControl/>
        <w:spacing w:line="40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22860</wp:posOffset>
            </wp:positionV>
            <wp:extent cx="1062990" cy="1200785"/>
            <wp:effectExtent l="0" t="0" r="3810" b="0"/>
            <wp:wrapSquare wrapText="bothSides"/>
            <wp:docPr id="3" name="图片 3" descr="5226581e731f2e6ef4293288d921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5226581e731f2e6ef4293288d921f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李正良，男，1963年5月生，江苏江阴人。现任重庆大学本科生院院长兼教务处处长，重庆市首届“巴渝学者”特聘教授，重庆市教学名师，享受国务院政府特殊津贴。主要社会兼职有：中国高等教育学会工程教育专业委员会常务理事兼副秘书长、理科教育专业委员会理事、大学素质教育研究会常务理事等职。 </w:t>
      </w:r>
    </w:p>
    <w:p w:rsidR="006626E5" w:rsidRDefault="006626E5" w:rsidP="006626E5">
      <w:pPr>
        <w:pStyle w:val="1"/>
        <w:spacing w:beforeAutospacing="0" w:afterAutospacing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郭建校，天津外国语大学国际商学院院长，教授，天津国际消费中心城市研究中心执行主任，“一带一路”天津战略研究院</w:t>
      </w:r>
      <w:r>
        <w:rPr>
          <w:rFonts w:ascii="仿宋" w:eastAsia="仿宋" w:hAnsi="仿宋" w:cs="宋体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107950</wp:posOffset>
            </wp:positionV>
            <wp:extent cx="1518920" cy="1323340"/>
            <wp:effectExtent l="0" t="0" r="5080" b="0"/>
            <wp:wrapSquare wrapText="bothSides"/>
            <wp:docPr id="2" name="图片 2" descr="19f3b8145dfec8243934c011321a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19f3b8145dfec8243934c011321ac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宋体"/>
          <w:kern w:val="0"/>
          <w:sz w:val="32"/>
          <w:szCs w:val="32"/>
        </w:rPr>
        <w:t>兼职研究员，天津应急外语服</w:t>
      </w:r>
      <w:r>
        <w:rPr>
          <w:rFonts w:ascii="仿宋" w:eastAsia="仿宋" w:hAnsi="仿宋" w:cs="宋体"/>
          <w:kern w:val="0"/>
          <w:sz w:val="32"/>
          <w:szCs w:val="32"/>
        </w:rPr>
        <w:lastRenderedPageBreak/>
        <w:t>务研究院研究员，曾任教研室主任、系主任、教务处长，从事高等教育教学改革与管理工作20余年。天津市一流本科课程《统计学》负责人，天津市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课程思政示范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课《统计学》负责人、教学名师及教学团队。 研究领域：高等教育教学管理、课程思政、评价与预测等。  </w:t>
      </w:r>
    </w:p>
    <w:p w:rsidR="006626E5" w:rsidRDefault="006626E5" w:rsidP="006626E5">
      <w:pPr>
        <w:pStyle w:val="1"/>
        <w:spacing w:beforeAutospacing="0" w:afterAutospacing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120015</wp:posOffset>
            </wp:positionV>
            <wp:extent cx="1132205" cy="1751965"/>
            <wp:effectExtent l="0" t="0" r="0" b="635"/>
            <wp:wrapSquare wrapText="bothSides"/>
            <wp:docPr id="1" name="图片 1" descr="14add60700b38e7e90e42c1fbc92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14add60700b38e7e90e42c1fbc92d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宋体"/>
          <w:kern w:val="0"/>
          <w:sz w:val="32"/>
          <w:szCs w:val="32"/>
        </w:rPr>
        <w:t>庞海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芍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，北京理工大学人文与社会科学学院，研究员，博士生导师；教学促进与教师发展研究研究中心主任；国际认证的有效教学工作坊引领师（FDW）。担任北理工教学促进与教师发展中心主任期间，荣获国家级教师教学发展示范中心。</w:t>
      </w:r>
      <w:bookmarkStart w:id="0" w:name="_GoBack"/>
      <w:bookmarkEnd w:id="0"/>
      <w:r>
        <w:rPr>
          <w:rFonts w:ascii="仿宋" w:eastAsia="仿宋" w:hAnsi="仿宋" w:cs="宋体"/>
          <w:kern w:val="0"/>
          <w:sz w:val="32"/>
          <w:szCs w:val="32"/>
        </w:rPr>
        <w:t xml:space="preserve">主要研究领域为：素质教育与通识教育、大学教师发展、教学与学习研究、高等教育管理。    </w:t>
      </w:r>
    </w:p>
    <w:p w:rsidR="006626E5" w:rsidRPr="006626E5" w:rsidRDefault="006626E5">
      <w:pPr>
        <w:rPr>
          <w:rFonts w:hint="eastAsia"/>
        </w:rPr>
      </w:pPr>
    </w:p>
    <w:sectPr w:rsidR="006626E5" w:rsidRPr="0066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D750"/>
    <w:multiLevelType w:val="singleLevel"/>
    <w:tmpl w:val="271DD75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2F3F354"/>
    <w:multiLevelType w:val="singleLevel"/>
    <w:tmpl w:val="42F3F3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E5"/>
    <w:rsid w:val="006626E5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004E"/>
  <w15:chartTrackingRefBased/>
  <w15:docId w15:val="{8860D8AB-FB4D-48C3-B81A-40DB2D4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626E5"/>
    <w:pPr>
      <w:keepNext/>
      <w:spacing w:beforeAutospacing="1" w:afterAutospacing="1"/>
      <w:jc w:val="center"/>
      <w:outlineLvl w:val="0"/>
    </w:pPr>
    <w:rPr>
      <w:rFonts w:ascii="宋体" w:eastAsia="楷体_GB2312" w:hAnsi="宋体" w:cs="Times New Roman" w:hint="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626E5"/>
    <w:rPr>
      <w:rFonts w:ascii="宋体" w:eastAsia="楷体_GB2312" w:hAnsi="宋体" w:cs="Times New Roman"/>
      <w:sz w:val="28"/>
      <w:szCs w:val="20"/>
    </w:rPr>
  </w:style>
  <w:style w:type="paragraph" w:styleId="a3">
    <w:name w:val="Normal (Web)"/>
    <w:basedOn w:val="a"/>
    <w:rsid w:val="006626E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2022-11-09T03:36:00Z</dcterms:created>
  <dcterms:modified xsi:type="dcterms:W3CDTF">2022-11-09T03:40:00Z</dcterms:modified>
</cp:coreProperties>
</file>