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rPr>
      </w:pPr>
      <w:bookmarkStart w:id="4" w:name="_GoBack"/>
      <w:bookmarkEnd w:id="4"/>
      <w:r>
        <w:rPr>
          <w:rFonts w:hint="eastAsia" w:ascii="宋体" w:hAnsi="宋体" w:eastAsia="宋体"/>
          <w:b/>
        </w:rPr>
        <w:t>四年制生物技术专业人才培养方案</w:t>
      </w:r>
    </w:p>
    <w:p>
      <w:pPr>
        <w:pStyle w:val="6"/>
        <w:spacing w:before="0" w:beforeAutospacing="0" w:after="0" w:afterAutospacing="0" w:line="360" w:lineRule="auto"/>
        <w:jc w:val="both"/>
        <w:rPr>
          <w:rFonts w:cs="Arial"/>
        </w:rPr>
      </w:pPr>
      <w:r>
        <w:rPr>
          <w:rStyle w:val="10"/>
          <w:rFonts w:cs="Arial"/>
        </w:rPr>
        <w:t xml:space="preserve">一、培养目标 </w:t>
      </w:r>
    </w:p>
    <w:p>
      <w:pPr>
        <w:spacing w:line="360" w:lineRule="auto"/>
        <w:ind w:firstLine="360" w:firstLineChars="150"/>
        <w:rPr>
          <w:rFonts w:ascii="宋体" w:hAnsi="宋体" w:eastAsia="宋体" w:cs="Arial"/>
          <w:sz w:val="24"/>
          <w:szCs w:val="24"/>
          <w:lang w:val="zh-CN"/>
        </w:rPr>
      </w:pPr>
      <w:r>
        <w:rPr>
          <w:rFonts w:hint="eastAsia" w:ascii="宋体" w:hAnsi="宋体" w:eastAsia="宋体"/>
          <w:sz w:val="24"/>
        </w:rPr>
        <w:t>培养德智体美劳全面发展，具有良好的科学素养和高度的社会责任感，掌握扎实的医学基础和生物技术的基础知识、基本理论及基本技能，具有较强的实践能力和创新精神的应用型人才。毕业生</w:t>
      </w:r>
      <w:r>
        <w:rPr>
          <w:rFonts w:hint="eastAsia" w:ascii="宋体" w:hAnsi="宋体" w:eastAsia="宋体" w:cs="Arial"/>
          <w:sz w:val="24"/>
          <w:szCs w:val="24"/>
          <w:lang w:val="zh-CN"/>
        </w:rPr>
        <w:t>能在学校、科研机构、生物制品及生物试剂、医药、食品、卫生等相关单位从事与生物技术有关的科学研究、技术开发、教学与管理等工作。</w:t>
      </w:r>
    </w:p>
    <w:p>
      <w:pPr>
        <w:pStyle w:val="6"/>
        <w:spacing w:before="0" w:beforeAutospacing="0" w:after="0" w:afterAutospacing="0" w:line="360" w:lineRule="auto"/>
        <w:jc w:val="both"/>
        <w:rPr>
          <w:rFonts w:cs="Arial"/>
        </w:rPr>
      </w:pPr>
      <w:r>
        <w:rPr>
          <w:rStyle w:val="10"/>
          <w:rFonts w:cs="Arial"/>
        </w:rPr>
        <w:t>二、培养要求</w:t>
      </w:r>
    </w:p>
    <w:p>
      <w:pPr>
        <w:pStyle w:val="6"/>
        <w:spacing w:before="0" w:beforeAutospacing="0" w:after="0" w:afterAutospacing="0" w:line="360" w:lineRule="auto"/>
        <w:ind w:firstLine="480" w:firstLineChars="200"/>
        <w:jc w:val="both"/>
        <w:rPr>
          <w:rFonts w:cs="Arial"/>
          <w:snapToGrid w:val="0"/>
          <w:kern w:val="2"/>
          <w:szCs w:val="32"/>
          <w:lang w:val="zh-CN"/>
        </w:rPr>
      </w:pPr>
      <w:r>
        <w:rPr>
          <w:rFonts w:cs="Arial"/>
          <w:snapToGrid w:val="0"/>
          <w:kern w:val="2"/>
          <w:szCs w:val="32"/>
          <w:lang w:val="zh-CN"/>
        </w:rPr>
        <w:t>（一）思想道德与职业素质</w:t>
      </w:r>
      <w:r>
        <w:rPr>
          <w:rFonts w:hint="eastAsia" w:cs="Arial"/>
          <w:snapToGrid w:val="0"/>
          <w:kern w:val="2"/>
          <w:szCs w:val="32"/>
          <w:lang w:val="zh-CN"/>
        </w:rPr>
        <w:t>目标</w:t>
      </w:r>
    </w:p>
    <w:p>
      <w:pPr>
        <w:pStyle w:val="6"/>
        <w:spacing w:before="0" w:beforeAutospacing="0" w:after="0" w:afterAutospacing="0" w:line="360" w:lineRule="auto"/>
        <w:ind w:firstLine="480" w:firstLineChars="200"/>
        <w:jc w:val="both"/>
        <w:rPr>
          <w:rFonts w:cs="Arial"/>
          <w:snapToGrid w:val="0"/>
          <w:kern w:val="2"/>
          <w:szCs w:val="32"/>
          <w:lang w:val="zh-CN"/>
        </w:rPr>
      </w:pPr>
      <w:r>
        <w:rPr>
          <w:rFonts w:cs="Arial"/>
          <w:snapToGrid w:val="0"/>
          <w:kern w:val="2"/>
          <w:szCs w:val="32"/>
          <w:lang w:val="zh-CN"/>
        </w:rPr>
        <w:t>1．</w:t>
      </w:r>
      <w:r>
        <w:rPr>
          <w:rFonts w:hint="eastAsia" w:cs="Arial"/>
          <w:snapToGrid w:val="0"/>
          <w:kern w:val="2"/>
          <w:szCs w:val="32"/>
          <w:lang w:val="zh-CN"/>
        </w:rPr>
        <w:t>热爱祖国、遵纪守法；树立科学的世界观、人生观和价值观。</w:t>
      </w:r>
    </w:p>
    <w:p>
      <w:pPr>
        <w:pStyle w:val="6"/>
        <w:spacing w:before="0" w:beforeAutospacing="0" w:after="0" w:afterAutospacing="0" w:line="360" w:lineRule="auto"/>
        <w:ind w:firstLine="480" w:firstLineChars="200"/>
        <w:jc w:val="both"/>
        <w:rPr>
          <w:rFonts w:cs="Arial"/>
          <w:snapToGrid w:val="0"/>
          <w:kern w:val="2"/>
          <w:szCs w:val="32"/>
          <w:lang w:val="zh-CN"/>
        </w:rPr>
      </w:pPr>
      <w:r>
        <w:rPr>
          <w:rFonts w:cs="Arial"/>
          <w:snapToGrid w:val="0"/>
          <w:kern w:val="2"/>
          <w:szCs w:val="32"/>
          <w:lang w:val="zh-CN"/>
        </w:rPr>
        <w:t>2．具有爱岗敬业的优良职业道德，健全的人格</w:t>
      </w:r>
      <w:r>
        <w:rPr>
          <w:rFonts w:hint="eastAsia" w:cs="Arial"/>
          <w:snapToGrid w:val="0"/>
          <w:kern w:val="2"/>
          <w:szCs w:val="32"/>
          <w:lang w:val="zh-CN"/>
        </w:rPr>
        <w:t>。</w:t>
      </w:r>
    </w:p>
    <w:p>
      <w:pPr>
        <w:pStyle w:val="6"/>
        <w:spacing w:before="0" w:beforeAutospacing="0" w:after="0" w:afterAutospacing="0" w:line="360" w:lineRule="auto"/>
        <w:ind w:firstLine="480" w:firstLineChars="200"/>
        <w:jc w:val="both"/>
        <w:rPr>
          <w:rFonts w:cs="Arial"/>
          <w:snapToGrid w:val="0"/>
          <w:kern w:val="2"/>
          <w:szCs w:val="32"/>
          <w:lang w:val="zh-CN"/>
        </w:rPr>
      </w:pPr>
      <w:r>
        <w:rPr>
          <w:rFonts w:cs="Arial"/>
          <w:snapToGrid w:val="0"/>
          <w:kern w:val="2"/>
          <w:szCs w:val="32"/>
          <w:lang w:val="zh-CN"/>
        </w:rPr>
        <w:t>3．</w:t>
      </w:r>
      <w:r>
        <w:rPr>
          <w:rFonts w:hint="eastAsia" w:cs="Arial"/>
          <w:snapToGrid w:val="0"/>
          <w:kern w:val="2"/>
          <w:szCs w:val="32"/>
          <w:lang w:val="zh-CN"/>
        </w:rPr>
        <w:t>具有</w:t>
      </w:r>
      <w:r>
        <w:rPr>
          <w:rFonts w:cs="Arial"/>
          <w:snapToGrid w:val="0"/>
          <w:kern w:val="2"/>
          <w:szCs w:val="32"/>
          <w:lang w:val="zh-CN"/>
        </w:rPr>
        <w:t>科学态度</w:t>
      </w:r>
      <w:r>
        <w:rPr>
          <w:rFonts w:hint="eastAsia" w:cs="Arial"/>
          <w:snapToGrid w:val="0"/>
          <w:kern w:val="2"/>
          <w:szCs w:val="32"/>
          <w:lang w:val="zh-CN"/>
        </w:rPr>
        <w:t>、</w:t>
      </w:r>
      <w:r>
        <w:rPr>
          <w:rFonts w:cs="Arial"/>
          <w:snapToGrid w:val="0"/>
          <w:kern w:val="2"/>
          <w:szCs w:val="32"/>
          <w:lang w:val="zh-CN"/>
        </w:rPr>
        <w:t>创新</w:t>
      </w:r>
      <w:r>
        <w:rPr>
          <w:rFonts w:hint="eastAsia" w:cs="Arial"/>
          <w:snapToGrid w:val="0"/>
          <w:kern w:val="2"/>
          <w:szCs w:val="32"/>
          <w:lang w:val="zh-CN"/>
        </w:rPr>
        <w:t>和分析批判</w:t>
      </w:r>
      <w:r>
        <w:rPr>
          <w:rFonts w:cs="Arial"/>
          <w:snapToGrid w:val="0"/>
          <w:kern w:val="2"/>
          <w:szCs w:val="32"/>
          <w:lang w:val="zh-CN"/>
        </w:rPr>
        <w:t>精神</w:t>
      </w:r>
      <w:r>
        <w:rPr>
          <w:rFonts w:hint="eastAsia" w:cs="Arial"/>
          <w:snapToGrid w:val="0"/>
          <w:kern w:val="2"/>
          <w:szCs w:val="32"/>
          <w:lang w:val="zh-CN"/>
        </w:rPr>
        <w:t>以及集体主义</w:t>
      </w:r>
      <w:r>
        <w:rPr>
          <w:rFonts w:cs="Arial"/>
          <w:snapToGrid w:val="0"/>
          <w:kern w:val="2"/>
          <w:szCs w:val="32"/>
          <w:lang w:val="zh-CN"/>
        </w:rPr>
        <w:t>精神</w:t>
      </w:r>
      <w:r>
        <w:rPr>
          <w:rFonts w:hint="eastAsia" w:cs="Arial"/>
          <w:snapToGrid w:val="0"/>
          <w:kern w:val="2"/>
          <w:szCs w:val="32"/>
          <w:lang w:val="zh-CN"/>
        </w:rPr>
        <w:t>。</w:t>
      </w:r>
    </w:p>
    <w:p>
      <w:pPr>
        <w:pStyle w:val="6"/>
        <w:spacing w:before="0" w:beforeAutospacing="0" w:after="0" w:afterAutospacing="0" w:line="360" w:lineRule="auto"/>
        <w:ind w:firstLine="480" w:firstLineChars="200"/>
        <w:jc w:val="both"/>
        <w:rPr>
          <w:rFonts w:cs="Arial"/>
          <w:snapToGrid w:val="0"/>
          <w:kern w:val="2"/>
          <w:szCs w:val="32"/>
          <w:lang w:val="zh-CN"/>
        </w:rPr>
      </w:pPr>
      <w:r>
        <w:rPr>
          <w:rFonts w:hint="eastAsia" w:cs="Arial"/>
          <w:snapToGrid w:val="0"/>
          <w:kern w:val="2"/>
          <w:szCs w:val="32"/>
          <w:lang w:val="zh-CN"/>
        </w:rPr>
        <w:t>4．了解国家方针、政策和法规，</w:t>
      </w:r>
      <w:r>
        <w:rPr>
          <w:rFonts w:cs="Arial"/>
          <w:snapToGrid w:val="0"/>
          <w:kern w:val="2"/>
          <w:szCs w:val="32"/>
          <w:lang w:val="zh-CN"/>
        </w:rPr>
        <w:t>树立依法</w:t>
      </w:r>
      <w:r>
        <w:rPr>
          <w:rFonts w:hint="eastAsia" w:cs="Arial"/>
          <w:snapToGrid w:val="0"/>
          <w:kern w:val="2"/>
          <w:szCs w:val="32"/>
          <w:lang w:val="zh-CN"/>
        </w:rPr>
        <w:t>从业</w:t>
      </w:r>
      <w:r>
        <w:rPr>
          <w:rFonts w:cs="Arial"/>
          <w:snapToGrid w:val="0"/>
          <w:kern w:val="2"/>
          <w:szCs w:val="32"/>
          <w:lang w:val="zh-CN"/>
        </w:rPr>
        <w:t>的法律观念</w:t>
      </w:r>
      <w:r>
        <w:rPr>
          <w:rFonts w:hint="eastAsia" w:cs="Arial"/>
          <w:snapToGrid w:val="0"/>
          <w:kern w:val="2"/>
          <w:szCs w:val="32"/>
          <w:lang w:val="zh-CN"/>
        </w:rPr>
        <w:t>。</w:t>
      </w:r>
    </w:p>
    <w:p>
      <w:pPr>
        <w:pStyle w:val="6"/>
        <w:spacing w:before="0" w:beforeAutospacing="0" w:after="0" w:afterAutospacing="0" w:line="360" w:lineRule="auto"/>
        <w:ind w:firstLine="480" w:firstLineChars="200"/>
        <w:jc w:val="both"/>
        <w:rPr>
          <w:rFonts w:cs="Arial"/>
          <w:snapToGrid w:val="0"/>
          <w:kern w:val="2"/>
          <w:szCs w:val="32"/>
          <w:lang w:val="zh-CN"/>
        </w:rPr>
      </w:pPr>
      <w:r>
        <w:rPr>
          <w:rFonts w:hint="eastAsia" w:cs="Arial"/>
          <w:snapToGrid w:val="0"/>
          <w:kern w:val="2"/>
          <w:szCs w:val="32"/>
          <w:lang w:val="zh-CN"/>
        </w:rPr>
        <w:t>5</w:t>
      </w:r>
      <w:r>
        <w:rPr>
          <w:rFonts w:cs="Arial"/>
          <w:snapToGrid w:val="0"/>
          <w:kern w:val="2"/>
          <w:szCs w:val="32"/>
          <w:lang w:val="zh-CN"/>
        </w:rPr>
        <w:t>．</w:t>
      </w:r>
      <w:r>
        <w:rPr>
          <w:rFonts w:hint="eastAsia" w:cs="Arial"/>
          <w:snapToGrid w:val="0"/>
          <w:kern w:val="2"/>
          <w:szCs w:val="32"/>
          <w:lang w:val="zh-CN"/>
        </w:rPr>
        <w:t>身心健康，体魄健全，能够履行建设祖国和保卫祖国的神圣义务</w:t>
      </w:r>
      <w:r>
        <w:rPr>
          <w:rFonts w:cs="Arial"/>
          <w:snapToGrid w:val="0"/>
          <w:kern w:val="2"/>
          <w:szCs w:val="32"/>
          <w:lang w:val="zh-CN"/>
        </w:rPr>
        <w:t>。</w:t>
      </w:r>
    </w:p>
    <w:p>
      <w:pPr>
        <w:pStyle w:val="6"/>
        <w:spacing w:before="0" w:beforeAutospacing="0" w:after="0" w:afterAutospacing="0" w:line="360" w:lineRule="auto"/>
        <w:ind w:firstLine="480" w:firstLineChars="200"/>
        <w:jc w:val="both"/>
        <w:rPr>
          <w:rFonts w:cs="Arial"/>
          <w:snapToGrid w:val="0"/>
          <w:kern w:val="2"/>
          <w:szCs w:val="32"/>
          <w:highlight w:val="yellow"/>
        </w:rPr>
      </w:pPr>
      <w:r>
        <w:rPr>
          <w:rFonts w:hint="eastAsia" w:cs="Arial"/>
          <w:snapToGrid w:val="0"/>
          <w:kern w:val="2"/>
          <w:szCs w:val="32"/>
          <w:highlight w:val="yellow"/>
        </w:rPr>
        <w:t>6. 具有热爱劳动、甘于奉献的精神</w:t>
      </w:r>
      <w:r>
        <w:rPr>
          <w:rFonts w:cs="Arial"/>
          <w:snapToGrid w:val="0"/>
          <w:kern w:val="2"/>
          <w:szCs w:val="32"/>
          <w:highlight w:val="yellow"/>
          <w:lang w:val="zh-CN"/>
        </w:rPr>
        <w:t>。</w:t>
      </w:r>
    </w:p>
    <w:p>
      <w:pPr>
        <w:pStyle w:val="6"/>
        <w:spacing w:before="0" w:beforeAutospacing="0" w:after="0" w:afterAutospacing="0" w:line="360" w:lineRule="auto"/>
        <w:ind w:firstLine="480" w:firstLineChars="200"/>
        <w:jc w:val="both"/>
        <w:rPr>
          <w:bCs/>
          <w:snapToGrid w:val="0"/>
          <w:kern w:val="2"/>
          <w:szCs w:val="32"/>
          <w:lang w:val="zh-CN"/>
        </w:rPr>
      </w:pPr>
      <w:r>
        <w:rPr>
          <w:bCs/>
          <w:snapToGrid w:val="0"/>
          <w:kern w:val="2"/>
          <w:szCs w:val="32"/>
          <w:lang w:val="zh-CN"/>
        </w:rPr>
        <w:t>（二）知识</w:t>
      </w:r>
      <w:r>
        <w:rPr>
          <w:rFonts w:hint="eastAsia"/>
          <w:bCs/>
          <w:snapToGrid w:val="0"/>
          <w:kern w:val="2"/>
          <w:szCs w:val="32"/>
          <w:lang w:val="zh-CN"/>
        </w:rPr>
        <w:t>与技能目标</w:t>
      </w:r>
    </w:p>
    <w:p>
      <w:pPr>
        <w:pStyle w:val="6"/>
        <w:spacing w:before="0" w:beforeAutospacing="0" w:after="0" w:afterAutospacing="0" w:line="360" w:lineRule="auto"/>
        <w:ind w:firstLine="480" w:firstLineChars="200"/>
        <w:jc w:val="both"/>
        <w:rPr>
          <w:rFonts w:cs="Arial"/>
          <w:snapToGrid w:val="0"/>
          <w:kern w:val="2"/>
          <w:szCs w:val="32"/>
          <w:lang w:val="zh-CN"/>
        </w:rPr>
      </w:pPr>
      <w:r>
        <w:rPr>
          <w:rFonts w:hint="eastAsia"/>
          <w:bCs/>
          <w:snapToGrid w:val="0"/>
          <w:kern w:val="2"/>
          <w:szCs w:val="32"/>
          <w:lang w:val="zh-CN"/>
        </w:rPr>
        <w:t>1．</w:t>
      </w:r>
      <w:r>
        <w:rPr>
          <w:rFonts w:cs="Arial"/>
          <w:snapToGrid w:val="0"/>
          <w:kern w:val="2"/>
          <w:szCs w:val="32"/>
          <w:lang w:val="zh-CN"/>
        </w:rPr>
        <w:t>掌握</w:t>
      </w:r>
      <w:r>
        <w:rPr>
          <w:rFonts w:hint="eastAsia" w:cs="Arial"/>
          <w:snapToGrid w:val="0"/>
          <w:kern w:val="2"/>
          <w:szCs w:val="32"/>
          <w:lang w:val="zh-CN"/>
        </w:rPr>
        <w:t>基础医学</w:t>
      </w:r>
      <w:r>
        <w:rPr>
          <w:rFonts w:cs="Arial"/>
          <w:snapToGrid w:val="0"/>
          <w:kern w:val="2"/>
          <w:szCs w:val="32"/>
          <w:lang w:val="zh-CN"/>
        </w:rPr>
        <w:t>与</w:t>
      </w:r>
      <w:r>
        <w:rPr>
          <w:rFonts w:hint="eastAsia" w:cs="Arial"/>
          <w:snapToGrid w:val="0"/>
          <w:kern w:val="2"/>
          <w:szCs w:val="32"/>
          <w:lang w:val="zh-CN"/>
        </w:rPr>
        <w:t>生物技术</w:t>
      </w:r>
      <w:r>
        <w:rPr>
          <w:rFonts w:cs="Arial"/>
          <w:snapToGrid w:val="0"/>
          <w:kern w:val="2"/>
          <w:szCs w:val="32"/>
          <w:lang w:val="zh-CN"/>
        </w:rPr>
        <w:t>相关的</w:t>
      </w:r>
      <w:r>
        <w:rPr>
          <w:rFonts w:hint="eastAsia" w:cs="Arial"/>
          <w:snapToGrid w:val="0"/>
          <w:kern w:val="2"/>
          <w:szCs w:val="32"/>
          <w:lang w:val="zh-CN"/>
        </w:rPr>
        <w:t>基本</w:t>
      </w:r>
      <w:r>
        <w:rPr>
          <w:rFonts w:cs="Arial"/>
          <w:snapToGrid w:val="0"/>
          <w:kern w:val="2"/>
          <w:szCs w:val="32"/>
          <w:lang w:val="zh-CN"/>
        </w:rPr>
        <w:t>知识和科学方法，并能用于指导未来的学习和实践。</w:t>
      </w:r>
    </w:p>
    <w:p>
      <w:pPr>
        <w:pStyle w:val="6"/>
        <w:spacing w:before="0" w:beforeAutospacing="0" w:after="0" w:afterAutospacing="0" w:line="360" w:lineRule="auto"/>
        <w:ind w:firstLine="480" w:firstLineChars="200"/>
        <w:jc w:val="both"/>
        <w:rPr>
          <w:rFonts w:cs="Arial"/>
          <w:snapToGrid w:val="0"/>
          <w:kern w:val="2"/>
          <w:szCs w:val="32"/>
          <w:lang w:val="zh-CN"/>
        </w:rPr>
      </w:pPr>
      <w:r>
        <w:rPr>
          <w:rFonts w:hint="eastAsia" w:cs="Arial"/>
          <w:snapToGrid w:val="0"/>
          <w:kern w:val="2"/>
          <w:szCs w:val="32"/>
          <w:lang w:val="zh-CN"/>
        </w:rPr>
        <w:t>2．</w:t>
      </w:r>
      <w:r>
        <w:rPr>
          <w:rFonts w:cs="Arial"/>
          <w:snapToGrid w:val="0"/>
          <w:kern w:val="2"/>
          <w:szCs w:val="32"/>
          <w:lang w:val="zh-CN"/>
        </w:rPr>
        <w:t>掌握系统的</w:t>
      </w:r>
      <w:r>
        <w:rPr>
          <w:rFonts w:hint="eastAsia" w:cs="Arial"/>
          <w:snapToGrid w:val="0"/>
          <w:kern w:val="2"/>
          <w:szCs w:val="32"/>
          <w:lang w:val="zh-CN"/>
        </w:rPr>
        <w:t>医用</w:t>
      </w:r>
      <w:r>
        <w:rPr>
          <w:rFonts w:cs="Arial"/>
          <w:snapToGrid w:val="0"/>
          <w:kern w:val="2"/>
          <w:szCs w:val="32"/>
          <w:lang w:val="zh-CN"/>
        </w:rPr>
        <w:t>生物技术专业知识</w:t>
      </w:r>
      <w:r>
        <w:rPr>
          <w:rFonts w:hint="eastAsia" w:cs="Arial"/>
          <w:snapToGrid w:val="0"/>
          <w:kern w:val="2"/>
          <w:szCs w:val="32"/>
          <w:lang w:val="zh-CN"/>
        </w:rPr>
        <w:t>及</w:t>
      </w:r>
      <w:r>
        <w:rPr>
          <w:rFonts w:cs="Arial"/>
          <w:snapToGrid w:val="0"/>
          <w:kern w:val="2"/>
          <w:szCs w:val="32"/>
          <w:lang w:val="zh-CN"/>
        </w:rPr>
        <w:t>基本操作技能</w:t>
      </w:r>
      <w:r>
        <w:rPr>
          <w:rFonts w:hint="eastAsia" w:cs="Arial"/>
          <w:snapToGrid w:val="0"/>
          <w:kern w:val="2"/>
          <w:szCs w:val="32"/>
          <w:lang w:val="zh-CN"/>
        </w:rPr>
        <w:t>；</w:t>
      </w:r>
      <w:r>
        <w:rPr>
          <w:rFonts w:cs="Arial"/>
          <w:snapToGrid w:val="0"/>
          <w:kern w:val="2"/>
          <w:szCs w:val="32"/>
          <w:lang w:val="zh-CN"/>
        </w:rPr>
        <w:t>掌握细胞工程、酶工程、基因工程</w:t>
      </w:r>
      <w:r>
        <w:rPr>
          <w:rFonts w:hint="eastAsia" w:cs="Arial"/>
          <w:snapToGrid w:val="0"/>
          <w:kern w:val="2"/>
          <w:szCs w:val="32"/>
          <w:lang w:val="zh-CN"/>
        </w:rPr>
        <w:t>、发酵工程</w:t>
      </w:r>
      <w:r>
        <w:rPr>
          <w:rFonts w:cs="Arial"/>
          <w:snapToGrid w:val="0"/>
          <w:kern w:val="2"/>
          <w:szCs w:val="32"/>
          <w:lang w:val="zh-CN"/>
        </w:rPr>
        <w:t>等</w:t>
      </w:r>
      <w:r>
        <w:rPr>
          <w:rFonts w:hint="eastAsia" w:cs="Arial"/>
          <w:snapToGrid w:val="0"/>
          <w:kern w:val="2"/>
          <w:szCs w:val="32"/>
          <w:lang w:val="zh-CN"/>
        </w:rPr>
        <w:t>基础知识</w:t>
      </w:r>
      <w:r>
        <w:rPr>
          <w:rFonts w:cs="Arial"/>
          <w:snapToGrid w:val="0"/>
          <w:kern w:val="2"/>
          <w:szCs w:val="32"/>
          <w:lang w:val="zh-CN"/>
        </w:rPr>
        <w:t>、</w:t>
      </w:r>
      <w:r>
        <w:rPr>
          <w:rFonts w:hint="eastAsia" w:cs="Arial"/>
          <w:snapToGrid w:val="0"/>
          <w:kern w:val="2"/>
          <w:szCs w:val="32"/>
          <w:lang w:val="zh-CN"/>
        </w:rPr>
        <w:t>基本理论和基本技能；</w:t>
      </w:r>
      <w:r>
        <w:rPr>
          <w:rFonts w:cs="Arial"/>
          <w:snapToGrid w:val="0"/>
          <w:kern w:val="2"/>
          <w:szCs w:val="32"/>
          <w:lang w:val="zh-CN"/>
        </w:rPr>
        <w:t>掌握现代</w:t>
      </w:r>
      <w:r>
        <w:rPr>
          <w:rFonts w:hint="eastAsia" w:cs="Arial"/>
          <w:snapToGrid w:val="0"/>
          <w:kern w:val="2"/>
          <w:szCs w:val="32"/>
        </w:rPr>
        <w:t>医用</w:t>
      </w:r>
      <w:r>
        <w:rPr>
          <w:rFonts w:cs="Arial"/>
          <w:snapToGrid w:val="0"/>
          <w:kern w:val="2"/>
          <w:szCs w:val="32"/>
          <w:lang w:val="zh-CN"/>
        </w:rPr>
        <w:t>生物信息技术</w:t>
      </w:r>
      <w:r>
        <w:rPr>
          <w:rFonts w:hint="eastAsia" w:cs="Arial"/>
          <w:snapToGrid w:val="0"/>
          <w:kern w:val="2"/>
          <w:szCs w:val="32"/>
          <w:lang w:val="zh-CN"/>
        </w:rPr>
        <w:t>。</w:t>
      </w:r>
    </w:p>
    <w:p>
      <w:pPr>
        <w:pStyle w:val="6"/>
        <w:spacing w:before="0" w:beforeAutospacing="0" w:after="0" w:afterAutospacing="0" w:line="360" w:lineRule="auto"/>
        <w:ind w:firstLine="480" w:firstLineChars="200"/>
        <w:jc w:val="both"/>
        <w:rPr>
          <w:rFonts w:cs="Arial"/>
          <w:snapToGrid w:val="0"/>
          <w:kern w:val="2"/>
          <w:szCs w:val="32"/>
          <w:lang w:val="zh-CN"/>
        </w:rPr>
      </w:pPr>
      <w:r>
        <w:rPr>
          <w:rFonts w:hint="eastAsia" w:cs="Arial"/>
          <w:snapToGrid w:val="0"/>
          <w:kern w:val="2"/>
          <w:szCs w:val="32"/>
          <w:lang w:val="zh-CN"/>
        </w:rPr>
        <w:t>3．</w:t>
      </w:r>
      <w:r>
        <w:rPr>
          <w:rFonts w:cs="Arial"/>
          <w:snapToGrid w:val="0"/>
          <w:kern w:val="2"/>
          <w:szCs w:val="32"/>
          <w:lang w:val="zh-CN"/>
        </w:rPr>
        <w:t>了解</w:t>
      </w:r>
      <w:r>
        <w:rPr>
          <w:rFonts w:hint="eastAsia" w:cs="Arial"/>
          <w:snapToGrid w:val="0"/>
          <w:kern w:val="2"/>
          <w:szCs w:val="32"/>
          <w:lang w:val="zh-CN"/>
        </w:rPr>
        <w:t>医用</w:t>
      </w:r>
      <w:r>
        <w:rPr>
          <w:rFonts w:cs="Arial"/>
          <w:snapToGrid w:val="0"/>
          <w:kern w:val="2"/>
          <w:szCs w:val="32"/>
          <w:lang w:val="zh-CN"/>
        </w:rPr>
        <w:t>生物技术的理论前沿、应用前景和最新发展动态</w:t>
      </w:r>
      <w:r>
        <w:rPr>
          <w:rFonts w:hint="eastAsia" w:cs="Arial"/>
          <w:snapToGrid w:val="0"/>
          <w:kern w:val="2"/>
          <w:szCs w:val="32"/>
          <w:lang w:val="zh-CN"/>
        </w:rPr>
        <w:t>；</w:t>
      </w:r>
      <w:r>
        <w:rPr>
          <w:rFonts w:cs="Arial"/>
          <w:snapToGrid w:val="0"/>
          <w:kern w:val="2"/>
          <w:szCs w:val="32"/>
          <w:lang w:val="zh-CN"/>
        </w:rPr>
        <w:t>了解</w:t>
      </w:r>
      <w:r>
        <w:rPr>
          <w:rFonts w:hint="eastAsia" w:cs="Arial"/>
          <w:snapToGrid w:val="0"/>
          <w:kern w:val="2"/>
          <w:szCs w:val="32"/>
          <w:lang w:val="zh-CN"/>
        </w:rPr>
        <w:t>医用</w:t>
      </w:r>
      <w:r>
        <w:rPr>
          <w:rFonts w:cs="Arial"/>
          <w:snapToGrid w:val="0"/>
          <w:kern w:val="2"/>
          <w:szCs w:val="32"/>
          <w:lang w:val="zh-CN"/>
        </w:rPr>
        <w:t>生物技术产业发展状况</w:t>
      </w:r>
      <w:r>
        <w:rPr>
          <w:rFonts w:hint="eastAsia" w:cs="Arial"/>
          <w:snapToGrid w:val="0"/>
          <w:kern w:val="2"/>
          <w:szCs w:val="32"/>
          <w:lang w:val="zh-CN"/>
        </w:rPr>
        <w:t>；</w:t>
      </w:r>
      <w:r>
        <w:rPr>
          <w:rFonts w:cs="Arial"/>
          <w:snapToGrid w:val="0"/>
          <w:kern w:val="2"/>
          <w:szCs w:val="32"/>
          <w:lang w:val="zh-CN"/>
        </w:rPr>
        <w:t>熟悉国家</w:t>
      </w:r>
      <w:r>
        <w:rPr>
          <w:rFonts w:hint="eastAsia" w:cs="Arial"/>
          <w:snapToGrid w:val="0"/>
          <w:kern w:val="2"/>
          <w:szCs w:val="32"/>
          <w:lang w:val="zh-CN"/>
        </w:rPr>
        <w:t>医用</w:t>
      </w:r>
      <w:r>
        <w:rPr>
          <w:rFonts w:cs="Arial"/>
          <w:snapToGrid w:val="0"/>
          <w:kern w:val="2"/>
          <w:szCs w:val="32"/>
          <w:lang w:val="zh-CN"/>
        </w:rPr>
        <w:t>生物技术产业政策、知识产权及生物技术安全条例等有关政策和法规。</w:t>
      </w:r>
    </w:p>
    <w:p>
      <w:pPr>
        <w:pStyle w:val="6"/>
        <w:spacing w:before="0" w:beforeAutospacing="0" w:after="0" w:afterAutospacing="0" w:line="360" w:lineRule="auto"/>
        <w:ind w:firstLine="480" w:firstLineChars="200"/>
        <w:jc w:val="both"/>
        <w:rPr>
          <w:rFonts w:cs="Arial"/>
          <w:snapToGrid w:val="0"/>
          <w:kern w:val="2"/>
          <w:szCs w:val="32"/>
          <w:lang w:val="zh-CN"/>
        </w:rPr>
      </w:pPr>
      <w:r>
        <w:rPr>
          <w:rFonts w:cs="Arial"/>
          <w:snapToGrid w:val="0"/>
          <w:kern w:val="2"/>
          <w:szCs w:val="32"/>
          <w:lang w:val="zh-CN"/>
        </w:rPr>
        <w:t>4．具有</w:t>
      </w:r>
      <w:r>
        <w:rPr>
          <w:rFonts w:hint="eastAsia" w:cs="Arial"/>
          <w:snapToGrid w:val="0"/>
          <w:kern w:val="2"/>
          <w:szCs w:val="32"/>
          <w:lang w:val="zh-CN"/>
        </w:rPr>
        <w:t>医用</w:t>
      </w:r>
      <w:r>
        <w:rPr>
          <w:rFonts w:cs="Arial"/>
          <w:snapToGrid w:val="0"/>
          <w:kern w:val="2"/>
          <w:szCs w:val="32"/>
          <w:lang w:val="zh-CN"/>
        </w:rPr>
        <w:t>生物技术产品研究开发和生产技术管理的基本能力。</w:t>
      </w:r>
    </w:p>
    <w:p>
      <w:pPr>
        <w:pStyle w:val="6"/>
        <w:spacing w:before="0" w:beforeAutospacing="0" w:after="0" w:afterAutospacing="0" w:line="360" w:lineRule="auto"/>
        <w:ind w:firstLine="480" w:firstLineChars="200"/>
        <w:jc w:val="both"/>
        <w:rPr>
          <w:rFonts w:cs="Arial"/>
          <w:snapToGrid w:val="0"/>
          <w:kern w:val="2"/>
          <w:szCs w:val="32"/>
          <w:lang w:val="zh-CN"/>
        </w:rPr>
      </w:pPr>
      <w:r>
        <w:rPr>
          <w:rFonts w:cs="Arial"/>
          <w:snapToGrid w:val="0"/>
          <w:kern w:val="2"/>
          <w:szCs w:val="32"/>
          <w:lang w:val="zh-CN"/>
        </w:rPr>
        <w:t>5．掌握一门外语，可以阅读本专业的外文书刊，并具有一定的听</w:t>
      </w:r>
      <w:r>
        <w:rPr>
          <w:rFonts w:hint="eastAsia" w:cs="Arial"/>
          <w:snapToGrid w:val="0"/>
          <w:kern w:val="2"/>
          <w:szCs w:val="32"/>
          <w:lang w:val="zh-CN"/>
        </w:rPr>
        <w:t>、</w:t>
      </w:r>
      <w:r>
        <w:rPr>
          <w:rFonts w:cs="Arial"/>
          <w:snapToGrid w:val="0"/>
          <w:kern w:val="2"/>
          <w:szCs w:val="32"/>
          <w:lang w:val="zh-CN"/>
        </w:rPr>
        <w:t>说</w:t>
      </w:r>
      <w:r>
        <w:rPr>
          <w:rFonts w:hint="eastAsia" w:cs="Arial"/>
          <w:snapToGrid w:val="0"/>
          <w:kern w:val="2"/>
          <w:szCs w:val="32"/>
          <w:lang w:val="zh-CN"/>
        </w:rPr>
        <w:t>、读、</w:t>
      </w:r>
      <w:r>
        <w:rPr>
          <w:rFonts w:cs="Arial"/>
          <w:snapToGrid w:val="0"/>
          <w:kern w:val="2"/>
          <w:szCs w:val="32"/>
          <w:lang w:val="zh-CN"/>
        </w:rPr>
        <w:t>写能力</w:t>
      </w:r>
      <w:r>
        <w:rPr>
          <w:rFonts w:hint="eastAsia" w:cs="Arial"/>
          <w:snapToGrid w:val="0"/>
          <w:kern w:val="2"/>
          <w:szCs w:val="32"/>
          <w:lang w:val="zh-CN"/>
        </w:rPr>
        <w:t>。</w:t>
      </w:r>
      <w:r>
        <w:rPr>
          <w:rFonts w:hint="eastAsia" w:cs="Arial"/>
          <w:snapToGrid w:val="0"/>
          <w:kern w:val="2"/>
          <w:szCs w:val="32"/>
        </w:rPr>
        <w:t>掌握</w:t>
      </w:r>
      <w:r>
        <w:rPr>
          <w:rFonts w:cs="Arial"/>
          <w:snapToGrid w:val="0"/>
          <w:kern w:val="2"/>
          <w:szCs w:val="32"/>
          <w:lang w:val="zh-CN"/>
        </w:rPr>
        <w:t>计算机应用的</w:t>
      </w:r>
      <w:r>
        <w:rPr>
          <w:rFonts w:hint="eastAsia" w:cs="Arial"/>
          <w:snapToGrid w:val="0"/>
          <w:kern w:val="2"/>
          <w:szCs w:val="32"/>
          <w:lang w:val="zh-CN"/>
        </w:rPr>
        <w:t>基本</w:t>
      </w:r>
      <w:r>
        <w:rPr>
          <w:rFonts w:cs="Arial"/>
          <w:snapToGrid w:val="0"/>
          <w:kern w:val="2"/>
          <w:szCs w:val="32"/>
          <w:lang w:val="zh-CN"/>
        </w:rPr>
        <w:t>能力</w:t>
      </w:r>
      <w:r>
        <w:rPr>
          <w:rFonts w:hint="eastAsia" w:cs="Arial"/>
          <w:snapToGrid w:val="0"/>
          <w:kern w:val="2"/>
          <w:szCs w:val="32"/>
          <w:lang w:val="zh-CN"/>
        </w:rPr>
        <w:t>，</w:t>
      </w:r>
      <w:r>
        <w:rPr>
          <w:rFonts w:hint="eastAsia" w:cs="Arial"/>
          <w:snapToGrid w:val="0"/>
          <w:kern w:val="2"/>
          <w:szCs w:val="32"/>
        </w:rPr>
        <w:t>具有</w:t>
      </w:r>
      <w:r>
        <w:rPr>
          <w:rFonts w:cs="Arial"/>
          <w:snapToGrid w:val="0"/>
          <w:kern w:val="2"/>
          <w:szCs w:val="32"/>
          <w:lang w:val="zh-CN"/>
        </w:rPr>
        <w:t>一定的</w:t>
      </w:r>
      <w:r>
        <w:rPr>
          <w:rFonts w:hint="eastAsia" w:cs="Arial"/>
          <w:snapToGrid w:val="0"/>
          <w:kern w:val="2"/>
          <w:szCs w:val="32"/>
        </w:rPr>
        <w:t>互联网</w:t>
      </w:r>
      <w:r>
        <w:rPr>
          <w:rFonts w:cs="Arial"/>
          <w:snapToGrid w:val="0"/>
          <w:kern w:val="2"/>
          <w:szCs w:val="32"/>
          <w:lang w:val="zh-CN"/>
        </w:rPr>
        <w:t>获取信息</w:t>
      </w:r>
      <w:r>
        <w:rPr>
          <w:rFonts w:hint="eastAsia" w:cs="Arial"/>
          <w:snapToGrid w:val="0"/>
          <w:kern w:val="2"/>
          <w:szCs w:val="32"/>
          <w:lang w:val="zh-CN"/>
        </w:rPr>
        <w:t>的</w:t>
      </w:r>
      <w:r>
        <w:rPr>
          <w:rFonts w:cs="Arial"/>
          <w:snapToGrid w:val="0"/>
          <w:kern w:val="2"/>
          <w:szCs w:val="32"/>
          <w:lang w:val="zh-CN"/>
        </w:rPr>
        <w:t>能力</w:t>
      </w:r>
      <w:r>
        <w:rPr>
          <w:rFonts w:hint="eastAsia" w:cs="Arial"/>
          <w:snapToGrid w:val="0"/>
          <w:kern w:val="2"/>
          <w:szCs w:val="32"/>
          <w:lang w:val="zh-CN"/>
        </w:rPr>
        <w:t>。</w:t>
      </w:r>
    </w:p>
    <w:p>
      <w:pPr>
        <w:pStyle w:val="6"/>
        <w:spacing w:before="0" w:beforeAutospacing="0" w:after="0" w:afterAutospacing="0" w:line="360" w:lineRule="auto"/>
        <w:ind w:firstLine="480" w:firstLineChars="200"/>
        <w:jc w:val="both"/>
        <w:rPr>
          <w:rFonts w:cs="Arial"/>
          <w:snapToGrid w:val="0"/>
          <w:kern w:val="2"/>
          <w:szCs w:val="32"/>
          <w:lang w:val="zh-CN"/>
        </w:rPr>
      </w:pPr>
      <w:r>
        <w:rPr>
          <w:rFonts w:hint="eastAsia" w:cs="Arial"/>
          <w:snapToGrid w:val="0"/>
          <w:kern w:val="2"/>
          <w:szCs w:val="32"/>
          <w:lang w:val="zh-CN"/>
        </w:rPr>
        <w:t>6．具备人际</w:t>
      </w:r>
      <w:r>
        <w:rPr>
          <w:rFonts w:cs="Arial"/>
          <w:snapToGrid w:val="0"/>
          <w:kern w:val="2"/>
          <w:szCs w:val="32"/>
          <w:lang w:val="zh-CN"/>
        </w:rPr>
        <w:t>交流与沟通</w:t>
      </w:r>
      <w:r>
        <w:rPr>
          <w:rFonts w:hint="eastAsia" w:cs="Arial"/>
          <w:snapToGrid w:val="0"/>
          <w:kern w:val="2"/>
          <w:szCs w:val="32"/>
          <w:lang w:val="zh-CN"/>
        </w:rPr>
        <w:t>能力，尊重他人，善于合作。</w:t>
      </w:r>
    </w:p>
    <w:p>
      <w:pPr>
        <w:pStyle w:val="6"/>
        <w:spacing w:before="0" w:beforeAutospacing="0" w:after="0" w:afterAutospacing="0" w:line="360" w:lineRule="auto"/>
        <w:ind w:firstLine="480" w:firstLineChars="200"/>
        <w:jc w:val="both"/>
        <w:rPr>
          <w:rFonts w:cs="Arial"/>
          <w:snapToGrid w:val="0"/>
          <w:kern w:val="2"/>
          <w:szCs w:val="32"/>
          <w:lang w:val="zh-CN"/>
        </w:rPr>
      </w:pPr>
      <w:r>
        <w:rPr>
          <w:rFonts w:hint="eastAsia" w:cs="Arial"/>
          <w:snapToGrid w:val="0"/>
          <w:kern w:val="2"/>
          <w:szCs w:val="32"/>
          <w:lang w:val="zh-CN"/>
        </w:rPr>
        <w:t>7．具备</w:t>
      </w:r>
      <w:r>
        <w:rPr>
          <w:rFonts w:cs="Arial"/>
          <w:snapToGrid w:val="0"/>
          <w:kern w:val="2"/>
          <w:szCs w:val="32"/>
          <w:lang w:val="zh-CN"/>
        </w:rPr>
        <w:t>自主学习和终</w:t>
      </w:r>
      <w:r>
        <w:rPr>
          <w:rFonts w:hint="eastAsia" w:cs="Arial"/>
          <w:snapToGrid w:val="0"/>
          <w:kern w:val="2"/>
          <w:szCs w:val="32"/>
          <w:lang w:val="zh-CN"/>
        </w:rPr>
        <w:t>身</w:t>
      </w:r>
      <w:r>
        <w:rPr>
          <w:rFonts w:cs="Arial"/>
          <w:snapToGrid w:val="0"/>
          <w:kern w:val="2"/>
          <w:szCs w:val="32"/>
          <w:lang w:val="zh-CN"/>
        </w:rPr>
        <w:t>学习能力</w:t>
      </w:r>
      <w:r>
        <w:rPr>
          <w:rFonts w:hint="eastAsia" w:cs="Arial"/>
          <w:snapToGrid w:val="0"/>
          <w:kern w:val="2"/>
          <w:szCs w:val="32"/>
          <w:lang w:val="zh-CN"/>
        </w:rPr>
        <w:t>，追求卓越，在基础医学、生物技术相关的领域继续深造。</w:t>
      </w:r>
    </w:p>
    <w:p>
      <w:pPr>
        <w:pStyle w:val="6"/>
        <w:spacing w:before="0" w:beforeAutospacing="0" w:after="0" w:afterAutospacing="0" w:line="360" w:lineRule="auto"/>
        <w:ind w:firstLine="480" w:firstLineChars="200"/>
        <w:jc w:val="both"/>
        <w:rPr>
          <w:rFonts w:cs="Arial"/>
          <w:snapToGrid w:val="0"/>
          <w:kern w:val="2"/>
          <w:szCs w:val="32"/>
          <w:lang w:val="zh-CN"/>
        </w:rPr>
      </w:pPr>
      <w:r>
        <w:rPr>
          <w:rFonts w:cs="Arial"/>
          <w:snapToGrid w:val="0"/>
          <w:kern w:val="2"/>
          <w:szCs w:val="32"/>
          <w:lang w:val="zh-CN"/>
        </w:rPr>
        <w:t>8．具有开拓</w:t>
      </w:r>
      <w:r>
        <w:rPr>
          <w:rFonts w:hint="eastAsia" w:cs="Arial"/>
          <w:snapToGrid w:val="0"/>
          <w:kern w:val="2"/>
          <w:szCs w:val="32"/>
          <w:lang w:val="zh-CN"/>
        </w:rPr>
        <w:t>进取</w:t>
      </w:r>
      <w:r>
        <w:rPr>
          <w:rFonts w:cs="Arial"/>
          <w:snapToGrid w:val="0"/>
          <w:kern w:val="2"/>
          <w:szCs w:val="32"/>
          <w:lang w:val="zh-CN"/>
        </w:rPr>
        <w:t>、终</w:t>
      </w:r>
      <w:r>
        <w:rPr>
          <w:rFonts w:hint="eastAsia" w:cs="Arial"/>
          <w:snapToGrid w:val="0"/>
          <w:kern w:val="2"/>
          <w:szCs w:val="32"/>
          <w:lang w:val="zh-CN"/>
        </w:rPr>
        <w:t>身</w:t>
      </w:r>
      <w:r>
        <w:rPr>
          <w:rFonts w:cs="Arial"/>
          <w:snapToGrid w:val="0"/>
          <w:kern w:val="2"/>
          <w:szCs w:val="32"/>
          <w:lang w:val="zh-CN"/>
        </w:rPr>
        <w:t>学习</w:t>
      </w:r>
      <w:r>
        <w:rPr>
          <w:rFonts w:hint="eastAsia" w:cs="Arial"/>
          <w:snapToGrid w:val="0"/>
          <w:kern w:val="2"/>
          <w:szCs w:val="32"/>
          <w:lang w:val="zh-CN"/>
        </w:rPr>
        <w:t>的理念，</w:t>
      </w:r>
      <w:r>
        <w:rPr>
          <w:rFonts w:cs="Arial"/>
          <w:snapToGrid w:val="0"/>
          <w:kern w:val="2"/>
          <w:szCs w:val="32"/>
          <w:lang w:val="zh-CN"/>
        </w:rPr>
        <w:t>持续发展的潜在能力和较强的社会适应性。</w:t>
      </w:r>
    </w:p>
    <w:p>
      <w:pPr>
        <w:pStyle w:val="6"/>
        <w:spacing w:before="0" w:beforeAutospacing="0" w:after="0" w:afterAutospacing="0" w:line="360" w:lineRule="auto"/>
        <w:jc w:val="both"/>
        <w:rPr>
          <w:rFonts w:cs="Arial"/>
          <w:b/>
        </w:rPr>
      </w:pPr>
      <w:r>
        <w:rPr>
          <w:rStyle w:val="10"/>
          <w:rFonts w:cs="Arial"/>
        </w:rPr>
        <w:t xml:space="preserve">三、主干学科和主要课程 </w:t>
      </w:r>
    </w:p>
    <w:p>
      <w:pPr>
        <w:spacing w:line="360" w:lineRule="auto"/>
        <w:ind w:firstLine="480" w:firstLineChars="200"/>
        <w:rPr>
          <w:rFonts w:ascii="宋体" w:hAnsi="宋体" w:eastAsia="宋体" w:cs="Arial"/>
          <w:kern w:val="0"/>
          <w:sz w:val="24"/>
          <w:szCs w:val="24"/>
        </w:rPr>
      </w:pPr>
      <w:r>
        <w:rPr>
          <w:rFonts w:ascii="宋体" w:hAnsi="宋体" w:eastAsia="宋体" w:cs="Arial"/>
          <w:kern w:val="0"/>
          <w:sz w:val="24"/>
          <w:szCs w:val="24"/>
        </w:rPr>
        <w:t>（一）主干学科：</w:t>
      </w:r>
      <w:r>
        <w:rPr>
          <w:rFonts w:hint="eastAsia" w:ascii="宋体" w:hAnsi="宋体" w:eastAsia="宋体" w:cs="Arial"/>
          <w:kern w:val="0"/>
          <w:sz w:val="24"/>
          <w:szCs w:val="24"/>
        </w:rPr>
        <w:t>生物医学、</w:t>
      </w:r>
      <w:r>
        <w:rPr>
          <w:rFonts w:ascii="宋体" w:hAnsi="宋体" w:eastAsia="宋体" w:cs="Arial"/>
          <w:kern w:val="0"/>
          <w:sz w:val="24"/>
          <w:szCs w:val="24"/>
        </w:rPr>
        <w:t>生物</w:t>
      </w:r>
      <w:r>
        <w:rPr>
          <w:rFonts w:hint="eastAsia" w:ascii="宋体" w:hAnsi="宋体" w:eastAsia="宋体" w:cs="Arial"/>
          <w:kern w:val="0"/>
          <w:sz w:val="24"/>
          <w:szCs w:val="24"/>
        </w:rPr>
        <w:t>技术</w:t>
      </w:r>
    </w:p>
    <w:p>
      <w:pPr>
        <w:spacing w:line="360" w:lineRule="auto"/>
        <w:ind w:firstLine="480" w:firstLineChars="200"/>
        <w:rPr>
          <w:rFonts w:ascii="宋体" w:hAnsi="宋体" w:eastAsia="宋体" w:cs="Arial"/>
          <w:kern w:val="0"/>
          <w:sz w:val="24"/>
          <w:szCs w:val="24"/>
        </w:rPr>
      </w:pPr>
      <w:r>
        <w:rPr>
          <w:rFonts w:ascii="宋体" w:hAnsi="宋体" w:eastAsia="宋体" w:cs="Arial"/>
          <w:kern w:val="0"/>
          <w:sz w:val="24"/>
          <w:szCs w:val="24"/>
        </w:rPr>
        <w:t>（二）主要课程：</w:t>
      </w:r>
    </w:p>
    <w:p>
      <w:pPr>
        <w:widowControl/>
        <w:spacing w:line="360" w:lineRule="auto"/>
        <w:ind w:firstLine="480" w:firstLineChars="200"/>
        <w:rPr>
          <w:rStyle w:val="10"/>
          <w:rFonts w:ascii="宋体" w:hAnsi="宋体" w:eastAsia="宋体" w:cs="Arial"/>
          <w:b w:val="0"/>
          <w:sz w:val="24"/>
          <w:szCs w:val="24"/>
          <w:highlight w:val="yellow"/>
        </w:rPr>
      </w:pPr>
      <w:r>
        <w:rPr>
          <w:rFonts w:ascii="宋体" w:hAnsi="宋体" w:eastAsia="宋体" w:cs="Arial"/>
          <w:sz w:val="24"/>
          <w:szCs w:val="24"/>
          <w:highlight w:val="yellow"/>
        </w:rPr>
        <w:t>基础化学</w:t>
      </w:r>
      <w:r>
        <w:rPr>
          <w:rFonts w:hint="eastAsia" w:ascii="宋体" w:hAnsi="宋体" w:eastAsia="宋体" w:cs="Arial"/>
          <w:sz w:val="24"/>
          <w:szCs w:val="24"/>
          <w:highlight w:val="yellow"/>
        </w:rPr>
        <w:t>、高等数学</w:t>
      </w:r>
      <w:r>
        <w:rPr>
          <w:rFonts w:hint="eastAsia" w:ascii="宋体" w:hAnsi="宋体" w:eastAsia="宋体" w:cs="Arial"/>
          <w:sz w:val="24"/>
          <w:szCs w:val="24"/>
          <w:highlight w:val="yellow"/>
          <w:lang w:eastAsia="zh-CN"/>
        </w:rPr>
        <w:t>、医用物理学、计算机应用基础、</w:t>
      </w:r>
      <w:r>
        <w:rPr>
          <w:rFonts w:ascii="宋体" w:hAnsi="宋体" w:eastAsia="宋体" w:cs="Arial"/>
          <w:kern w:val="0"/>
          <w:sz w:val="24"/>
          <w:szCs w:val="24"/>
          <w:highlight w:val="yellow"/>
        </w:rPr>
        <w:t>有机化学</w:t>
      </w:r>
      <w:r>
        <w:rPr>
          <w:rFonts w:hint="eastAsia" w:ascii="宋体" w:hAnsi="宋体" w:eastAsia="宋体" w:cs="Arial"/>
          <w:kern w:val="0"/>
          <w:sz w:val="24"/>
          <w:szCs w:val="24"/>
          <w:highlight w:val="yellow"/>
        </w:rPr>
        <w:t>、有机化学</w:t>
      </w:r>
      <w:r>
        <w:rPr>
          <w:rFonts w:hint="eastAsia" w:ascii="宋体" w:hAnsi="宋体" w:eastAsia="宋体" w:cs="Arial"/>
          <w:kern w:val="0"/>
          <w:sz w:val="24"/>
          <w:szCs w:val="24"/>
          <w:highlight w:val="yellow"/>
          <w:lang w:eastAsia="zh-CN"/>
        </w:rPr>
        <w:t>、医学统计学、科研方法与设计、细胞生物学、人体解剖学、</w:t>
      </w:r>
      <w:r>
        <w:rPr>
          <w:rFonts w:hint="eastAsia" w:ascii="宋体" w:hAnsi="宋体" w:eastAsia="宋体" w:cs="Arial"/>
          <w:kern w:val="0"/>
          <w:sz w:val="24"/>
          <w:szCs w:val="24"/>
          <w:highlight w:val="yellow"/>
        </w:rPr>
        <w:t>普通生物学、</w:t>
      </w:r>
      <w:r>
        <w:rPr>
          <w:rFonts w:ascii="宋体" w:hAnsi="宋体" w:eastAsia="宋体" w:cs="Arial"/>
          <w:sz w:val="24"/>
          <w:szCs w:val="24"/>
          <w:highlight w:val="yellow"/>
        </w:rPr>
        <w:t>组织学与胚胎学</w:t>
      </w:r>
      <w:r>
        <w:rPr>
          <w:rFonts w:hint="eastAsia" w:ascii="宋体" w:hAnsi="宋体" w:eastAsia="宋体" w:cs="Arial"/>
          <w:sz w:val="24"/>
          <w:szCs w:val="24"/>
          <w:highlight w:val="yellow"/>
        </w:rPr>
        <w:t>、</w:t>
      </w:r>
      <w:r>
        <w:rPr>
          <w:rFonts w:ascii="宋体" w:hAnsi="宋体" w:eastAsia="宋体" w:cs="Arial"/>
          <w:sz w:val="24"/>
          <w:szCs w:val="24"/>
          <w:highlight w:val="yellow"/>
        </w:rPr>
        <w:t>生理学</w:t>
      </w:r>
      <w:r>
        <w:rPr>
          <w:rFonts w:hint="eastAsia" w:ascii="宋体" w:hAnsi="宋体" w:eastAsia="宋体" w:cs="Arial"/>
          <w:sz w:val="24"/>
          <w:szCs w:val="24"/>
          <w:highlight w:val="yellow"/>
        </w:rPr>
        <w:t>、微生物学、</w:t>
      </w:r>
      <w:r>
        <w:rPr>
          <w:rFonts w:hint="eastAsia" w:ascii="宋体" w:hAnsi="宋体" w:eastAsia="宋体" w:cs="Arial"/>
          <w:sz w:val="24"/>
          <w:szCs w:val="24"/>
          <w:highlight w:val="yellow"/>
          <w:lang w:val="en-US" w:eastAsia="zh-CN"/>
        </w:rPr>
        <w:t>医学免疫学、</w:t>
      </w:r>
      <w:r>
        <w:rPr>
          <w:rFonts w:hint="eastAsia" w:ascii="宋体" w:hAnsi="宋体" w:eastAsia="宋体" w:cs="Arial"/>
          <w:sz w:val="24"/>
          <w:szCs w:val="24"/>
          <w:highlight w:val="yellow"/>
        </w:rPr>
        <w:t>药理学、病理学、</w:t>
      </w:r>
      <w:r>
        <w:rPr>
          <w:rFonts w:ascii="宋体" w:hAnsi="宋体" w:eastAsia="宋体" w:cs="Arial"/>
          <w:sz w:val="24"/>
          <w:szCs w:val="24"/>
          <w:highlight w:val="yellow"/>
        </w:rPr>
        <w:t>医学遗传学</w:t>
      </w:r>
      <w:r>
        <w:rPr>
          <w:rFonts w:hint="eastAsia" w:ascii="宋体" w:hAnsi="宋体" w:eastAsia="宋体" w:cs="Arial"/>
          <w:sz w:val="24"/>
          <w:szCs w:val="24"/>
          <w:highlight w:val="yellow"/>
        </w:rPr>
        <w:t>、临床医学概论、实验动物学</w:t>
      </w:r>
      <w:r>
        <w:rPr>
          <w:rFonts w:hint="eastAsia" w:ascii="宋体" w:hAnsi="宋体" w:eastAsia="宋体" w:cs="Arial"/>
          <w:sz w:val="24"/>
          <w:szCs w:val="24"/>
          <w:highlight w:val="yellow"/>
          <w:lang w:eastAsia="zh-CN"/>
        </w:rPr>
        <w:t>、</w:t>
      </w:r>
      <w:r>
        <w:rPr>
          <w:rFonts w:ascii="宋体" w:hAnsi="宋体" w:eastAsia="宋体" w:cs="Arial"/>
          <w:sz w:val="24"/>
          <w:szCs w:val="24"/>
          <w:highlight w:val="yellow"/>
        </w:rPr>
        <w:t>生物化学</w:t>
      </w:r>
      <w:r>
        <w:rPr>
          <w:rFonts w:hint="eastAsia" w:ascii="宋体" w:hAnsi="宋体" w:eastAsia="宋体" w:cs="Arial"/>
          <w:sz w:val="24"/>
          <w:szCs w:val="24"/>
          <w:highlight w:val="yellow"/>
        </w:rPr>
        <w:t>、</w:t>
      </w:r>
      <w:r>
        <w:rPr>
          <w:rFonts w:ascii="宋体" w:hAnsi="宋体" w:eastAsia="宋体" w:cs="Arial"/>
          <w:sz w:val="24"/>
          <w:szCs w:val="24"/>
          <w:highlight w:val="yellow"/>
        </w:rPr>
        <w:t>生物信息学</w:t>
      </w:r>
      <w:r>
        <w:rPr>
          <w:rFonts w:hint="eastAsia" w:ascii="宋体" w:hAnsi="宋体" w:eastAsia="宋体" w:cs="Arial"/>
          <w:sz w:val="24"/>
          <w:szCs w:val="24"/>
          <w:highlight w:val="yellow"/>
        </w:rPr>
        <w:t>、发酵</w:t>
      </w:r>
      <w:r>
        <w:rPr>
          <w:rFonts w:ascii="宋体" w:hAnsi="宋体" w:eastAsia="宋体" w:cs="Arial"/>
          <w:sz w:val="24"/>
          <w:szCs w:val="24"/>
          <w:highlight w:val="yellow"/>
        </w:rPr>
        <w:t>工程</w:t>
      </w:r>
      <w:r>
        <w:rPr>
          <w:rFonts w:hint="eastAsia" w:ascii="宋体" w:hAnsi="宋体" w:eastAsia="宋体" w:cs="Arial"/>
          <w:sz w:val="24"/>
          <w:szCs w:val="24"/>
          <w:highlight w:val="yellow"/>
        </w:rPr>
        <w:t>、</w:t>
      </w:r>
      <w:r>
        <w:rPr>
          <w:rFonts w:ascii="宋体" w:hAnsi="宋体" w:eastAsia="宋体" w:cs="Arial"/>
          <w:sz w:val="24"/>
          <w:szCs w:val="24"/>
          <w:highlight w:val="yellow"/>
        </w:rPr>
        <w:t>基因工程</w:t>
      </w:r>
      <w:r>
        <w:rPr>
          <w:rFonts w:hint="eastAsia" w:ascii="宋体" w:hAnsi="宋体" w:eastAsia="宋体" w:cs="Arial"/>
          <w:sz w:val="24"/>
          <w:szCs w:val="24"/>
          <w:highlight w:val="yellow"/>
        </w:rPr>
        <w:t>、</w:t>
      </w:r>
      <w:r>
        <w:rPr>
          <w:rFonts w:ascii="宋体" w:hAnsi="宋体" w:eastAsia="宋体" w:cs="Arial"/>
          <w:sz w:val="24"/>
          <w:szCs w:val="24"/>
          <w:highlight w:val="yellow"/>
        </w:rPr>
        <w:t>酶工程</w:t>
      </w:r>
      <w:r>
        <w:rPr>
          <w:rFonts w:hint="eastAsia" w:ascii="宋体" w:hAnsi="宋体" w:eastAsia="宋体" w:cs="Arial"/>
          <w:sz w:val="24"/>
          <w:szCs w:val="24"/>
          <w:highlight w:val="yellow"/>
        </w:rPr>
        <w:t>、</w:t>
      </w:r>
      <w:r>
        <w:rPr>
          <w:rFonts w:hint="eastAsia" w:ascii="宋体" w:hAnsi="宋体" w:eastAsia="宋体" w:cs="Arial"/>
          <w:sz w:val="24"/>
          <w:szCs w:val="24"/>
          <w:highlight w:val="yellow"/>
          <w:lang w:val="en-US" w:eastAsia="zh-CN"/>
        </w:rPr>
        <w:t>分子生物学、</w:t>
      </w:r>
      <w:r>
        <w:rPr>
          <w:rFonts w:hint="eastAsia" w:ascii="宋体" w:hAnsi="宋体" w:eastAsia="宋体" w:cs="Arial"/>
          <w:sz w:val="24"/>
          <w:szCs w:val="24"/>
          <w:highlight w:val="yellow"/>
        </w:rPr>
        <w:t>体外诊断产业技术、</w:t>
      </w:r>
      <w:r>
        <w:rPr>
          <w:rFonts w:ascii="宋体" w:hAnsi="宋体" w:eastAsia="宋体" w:cs="Arial"/>
          <w:sz w:val="24"/>
          <w:szCs w:val="24"/>
          <w:highlight w:val="yellow"/>
        </w:rPr>
        <w:t>食品安全与检测技术</w:t>
      </w:r>
      <w:r>
        <w:rPr>
          <w:rFonts w:hint="eastAsia" w:ascii="宋体" w:hAnsi="宋体" w:eastAsia="宋体" w:cs="Arial"/>
          <w:sz w:val="24"/>
          <w:szCs w:val="24"/>
          <w:highlight w:val="yellow"/>
        </w:rPr>
        <w:t>、</w:t>
      </w:r>
      <w:r>
        <w:rPr>
          <w:rFonts w:ascii="宋体" w:hAnsi="宋体" w:eastAsia="宋体" w:cs="Arial"/>
          <w:sz w:val="24"/>
          <w:szCs w:val="24"/>
          <w:highlight w:val="yellow"/>
        </w:rPr>
        <w:t>细胞工程</w:t>
      </w:r>
      <w:r>
        <w:rPr>
          <w:rFonts w:hint="eastAsia" w:ascii="宋体" w:hAnsi="宋体" w:eastAsia="宋体" w:cs="Arial"/>
          <w:sz w:val="24"/>
          <w:szCs w:val="24"/>
          <w:highlight w:val="yellow"/>
        </w:rPr>
        <w:t>、</w:t>
      </w:r>
      <w:r>
        <w:rPr>
          <w:rFonts w:ascii="宋体" w:hAnsi="宋体" w:eastAsia="宋体" w:cs="Arial"/>
          <w:sz w:val="24"/>
          <w:szCs w:val="24"/>
          <w:highlight w:val="yellow"/>
        </w:rPr>
        <w:t>生物技术综合性实验分子诊断技术</w:t>
      </w:r>
      <w:r>
        <w:rPr>
          <w:rFonts w:hint="eastAsia" w:ascii="宋体" w:hAnsi="宋体" w:eastAsia="宋体" w:cs="Arial"/>
          <w:sz w:val="24"/>
          <w:szCs w:val="24"/>
          <w:highlight w:val="yellow"/>
        </w:rPr>
        <w:t>等。</w:t>
      </w:r>
    </w:p>
    <w:p>
      <w:pPr>
        <w:pStyle w:val="6"/>
        <w:spacing w:before="0" w:beforeAutospacing="0" w:after="0" w:afterAutospacing="0" w:line="360" w:lineRule="auto"/>
        <w:jc w:val="both"/>
        <w:rPr>
          <w:rFonts w:cs="Arial"/>
          <w:b/>
        </w:rPr>
      </w:pPr>
      <w:r>
        <w:rPr>
          <w:rFonts w:cs="Arial"/>
          <w:b/>
        </w:rPr>
        <w:t>四、主要实践教学环节</w:t>
      </w:r>
    </w:p>
    <w:p>
      <w:pPr>
        <w:pStyle w:val="6"/>
        <w:spacing w:before="0" w:beforeAutospacing="0" w:after="0" w:afterAutospacing="0" w:line="360" w:lineRule="auto"/>
        <w:ind w:firstLine="480" w:firstLineChars="200"/>
        <w:jc w:val="both"/>
        <w:rPr>
          <w:rFonts w:cs="Arial"/>
          <w:snapToGrid w:val="0"/>
        </w:rPr>
      </w:pPr>
      <w:r>
        <w:rPr>
          <w:rFonts w:hint="eastAsia" w:cs="Arial"/>
          <w:snapToGrid w:val="0"/>
        </w:rPr>
        <w:t>（一）</w:t>
      </w:r>
      <w:r>
        <w:rPr>
          <w:rFonts w:cs="Arial"/>
          <w:snapToGrid w:val="0"/>
        </w:rPr>
        <w:t>军事训练</w:t>
      </w:r>
      <w:r>
        <w:rPr>
          <w:rFonts w:hint="eastAsia" w:cs="Arial"/>
          <w:snapToGrid w:val="0"/>
        </w:rPr>
        <w:t>2周，安排在第一学期进行，计2学分；</w:t>
      </w:r>
    </w:p>
    <w:p>
      <w:pPr>
        <w:pStyle w:val="6"/>
        <w:spacing w:before="0" w:beforeAutospacing="0" w:after="0" w:afterAutospacing="0" w:line="360" w:lineRule="auto"/>
        <w:ind w:firstLine="480" w:firstLineChars="200"/>
        <w:jc w:val="both"/>
        <w:rPr>
          <w:rStyle w:val="10"/>
          <w:rFonts w:cs="Arial"/>
        </w:rPr>
      </w:pPr>
      <w:r>
        <w:rPr>
          <w:rFonts w:hint="eastAsia" w:cs="Arial"/>
          <w:snapToGrid w:val="0"/>
        </w:rPr>
        <w:t>（二）毕业实习及毕业论文48周，计28学分；</w:t>
      </w:r>
    </w:p>
    <w:p>
      <w:pPr>
        <w:pStyle w:val="6"/>
        <w:spacing w:before="0" w:beforeAutospacing="0" w:after="0" w:afterAutospacing="0" w:line="360" w:lineRule="auto"/>
        <w:ind w:firstLine="470" w:firstLineChars="196"/>
        <w:jc w:val="both"/>
        <w:rPr>
          <w:rStyle w:val="10"/>
          <w:rFonts w:cs="Arial"/>
          <w:b w:val="0"/>
        </w:rPr>
      </w:pPr>
      <w:r>
        <w:rPr>
          <w:rStyle w:val="10"/>
          <w:rFonts w:hint="eastAsia" w:cs="Arial"/>
          <w:b w:val="0"/>
        </w:rPr>
        <w:t>（三）社会实践（含公益劳动）2周，计2学分。</w:t>
      </w:r>
    </w:p>
    <w:p>
      <w:pPr>
        <w:pStyle w:val="6"/>
        <w:spacing w:before="0" w:beforeAutospacing="0" w:after="0" w:afterAutospacing="0" w:line="360" w:lineRule="auto"/>
        <w:ind w:firstLine="480" w:firstLineChars="200"/>
      </w:pPr>
      <w:r>
        <w:rPr>
          <w:rStyle w:val="10"/>
          <w:rFonts w:hint="eastAsia" w:cs="Arial"/>
          <w:b w:val="0"/>
        </w:rPr>
        <w:t>（四）</w:t>
      </w:r>
      <w:r>
        <w:rPr>
          <w:rFonts w:hint="eastAsia"/>
        </w:rPr>
        <w:t>创新创业素质拓展，3学分。</w:t>
      </w:r>
    </w:p>
    <w:p>
      <w:pPr>
        <w:pStyle w:val="6"/>
        <w:spacing w:before="0" w:beforeAutospacing="0" w:after="0" w:afterAutospacing="0" w:line="360" w:lineRule="auto"/>
        <w:ind w:left="640" w:firstLine="480" w:firstLineChars="200"/>
      </w:pPr>
      <w:r>
        <w:t>1.</w:t>
      </w:r>
      <w:r>
        <w:rPr>
          <w:rFonts w:hint="eastAsia"/>
        </w:rPr>
        <w:t>主持并完成“大学生创新创业训练计划项目”或“未来学术之星”等科研项目的，每项3学分；参与以上项目的，每项1.5学分；</w:t>
      </w:r>
    </w:p>
    <w:p>
      <w:pPr>
        <w:pStyle w:val="6"/>
        <w:spacing w:before="0" w:beforeAutospacing="0" w:after="0" w:afterAutospacing="0" w:line="360" w:lineRule="auto"/>
        <w:ind w:left="640" w:firstLine="480" w:firstLineChars="200"/>
      </w:pPr>
      <w:r>
        <w:t>2.</w:t>
      </w:r>
      <w:r>
        <w:rPr>
          <w:rFonts w:hint="eastAsia"/>
        </w:rPr>
        <w:t>主持“互联网+”大学生创新创业大赛项目，报名成功并进入校级比赛的，每项3学分；参与该项目的，每项1.5学分；</w:t>
      </w:r>
    </w:p>
    <w:p>
      <w:pPr>
        <w:pStyle w:val="6"/>
        <w:spacing w:before="0" w:beforeAutospacing="0" w:after="0" w:afterAutospacing="0" w:line="360" w:lineRule="auto"/>
        <w:ind w:left="640" w:firstLine="480" w:firstLineChars="200"/>
      </w:pPr>
      <w:r>
        <w:t>3.</w:t>
      </w:r>
      <w:r>
        <w:rPr>
          <w:rFonts w:hint="eastAsia"/>
        </w:rPr>
        <w:t>符合《广西医科大学本科生课外素质教育奖励学分实施管理办法（2017年9月修订）》（桂医大教〔2017〕69号）文件</w:t>
      </w:r>
      <w:r>
        <w:t>中</w:t>
      </w:r>
      <w:r>
        <w:rPr>
          <w:rFonts w:hint="eastAsia"/>
        </w:rPr>
        <w:t>学分奖励条件，获得的奖励学分可作为创新创业素质拓展学分（文件中第三类别：创新创业训练奖励学分除外）。</w:t>
      </w:r>
    </w:p>
    <w:p>
      <w:pPr>
        <w:pStyle w:val="6"/>
        <w:spacing w:before="0" w:beforeAutospacing="0" w:after="0" w:afterAutospacing="0" w:line="360" w:lineRule="auto"/>
        <w:jc w:val="both"/>
        <w:rPr>
          <w:rStyle w:val="10"/>
          <w:rFonts w:cs="Arial"/>
        </w:rPr>
      </w:pPr>
      <w:r>
        <w:rPr>
          <w:rStyle w:val="10"/>
          <w:rFonts w:cs="Arial"/>
        </w:rPr>
        <w:t xml:space="preserve">五、课程设置 </w:t>
      </w:r>
    </w:p>
    <w:p>
      <w:pPr>
        <w:pStyle w:val="6"/>
        <w:spacing w:before="0" w:beforeAutospacing="0" w:after="0" w:afterAutospacing="0" w:line="360" w:lineRule="auto"/>
        <w:ind w:firstLine="480" w:firstLineChars="200"/>
        <w:jc w:val="both"/>
        <w:rPr>
          <w:rStyle w:val="10"/>
          <w:b w:val="0"/>
        </w:rPr>
      </w:pPr>
      <w:r>
        <w:rPr>
          <w:rStyle w:val="10"/>
          <w:rFonts w:hint="eastAsia"/>
          <w:b w:val="0"/>
          <w:highlight w:val="yellow"/>
        </w:rPr>
        <w:t>（一）必修课程（共37门、</w:t>
      </w:r>
      <w:r>
        <w:rPr>
          <w:rStyle w:val="10"/>
          <w:b w:val="0"/>
          <w:highlight w:val="yellow"/>
        </w:rPr>
        <w:t>2</w:t>
      </w:r>
      <w:r>
        <w:rPr>
          <w:rStyle w:val="10"/>
          <w:rFonts w:hint="eastAsia"/>
          <w:b w:val="0"/>
          <w:highlight w:val="yellow"/>
        </w:rPr>
        <w:t>3</w:t>
      </w:r>
      <w:r>
        <w:rPr>
          <w:rStyle w:val="10"/>
          <w:rFonts w:hint="eastAsia"/>
          <w:b w:val="0"/>
          <w:highlight w:val="yellow"/>
          <w:lang w:val="en-US" w:eastAsia="zh-CN"/>
        </w:rPr>
        <w:t>10</w:t>
      </w:r>
      <w:r>
        <w:rPr>
          <w:rStyle w:val="10"/>
          <w:rFonts w:hint="eastAsia"/>
          <w:b w:val="0"/>
          <w:highlight w:val="yellow"/>
        </w:rPr>
        <w:t>学时、11</w:t>
      </w:r>
      <w:r>
        <w:rPr>
          <w:rStyle w:val="10"/>
          <w:rFonts w:hint="eastAsia"/>
          <w:b w:val="0"/>
          <w:highlight w:val="yellow"/>
          <w:lang w:val="en-US" w:eastAsia="zh-CN"/>
        </w:rPr>
        <w:t>1</w:t>
      </w:r>
      <w:r>
        <w:rPr>
          <w:rStyle w:val="10"/>
          <w:rFonts w:hint="eastAsia"/>
          <w:b w:val="0"/>
          <w:highlight w:val="yellow"/>
        </w:rPr>
        <w:t>学分</w:t>
      </w:r>
      <w:r>
        <w:rPr>
          <w:rStyle w:val="10"/>
          <w:rFonts w:hint="eastAsia" w:cs="宋体"/>
          <w:b w:val="0"/>
          <w:highlight w:val="yellow"/>
        </w:rPr>
        <w:t>，</w:t>
      </w:r>
      <w:r>
        <w:rPr>
          <w:rFonts w:hint="eastAsia"/>
          <w:highlight w:val="yellow"/>
        </w:rPr>
        <w:t>详见教学进程表</w:t>
      </w:r>
      <w:r>
        <w:rPr>
          <w:rStyle w:val="10"/>
          <w:rFonts w:hint="eastAsia"/>
          <w:b w:val="0"/>
          <w:highlight w:val="yellow"/>
        </w:rPr>
        <w:t>）</w:t>
      </w:r>
    </w:p>
    <w:p>
      <w:pPr>
        <w:widowControl/>
        <w:spacing w:line="360" w:lineRule="auto"/>
        <w:ind w:firstLine="480" w:firstLineChars="200"/>
        <w:rPr>
          <w:rFonts w:ascii="宋体" w:hAnsi="宋体" w:eastAsia="宋体" w:cs="Arial"/>
          <w:sz w:val="24"/>
          <w:szCs w:val="24"/>
        </w:rPr>
      </w:pPr>
      <w:r>
        <w:rPr>
          <w:rStyle w:val="10"/>
          <w:rFonts w:ascii="宋体" w:hAnsi="宋体" w:eastAsia="宋体" w:cs="Arial"/>
          <w:b w:val="0"/>
          <w:sz w:val="24"/>
          <w:szCs w:val="24"/>
        </w:rPr>
        <w:t>（二）</w:t>
      </w:r>
      <w:r>
        <w:rPr>
          <w:rFonts w:ascii="宋体" w:hAnsi="宋体" w:eastAsia="宋体" w:cs="Arial"/>
          <w:sz w:val="24"/>
          <w:szCs w:val="24"/>
        </w:rPr>
        <w:t>限选课程（1</w:t>
      </w:r>
      <w:r>
        <w:rPr>
          <w:rFonts w:hint="eastAsia" w:ascii="宋体" w:hAnsi="宋体" w:eastAsia="宋体" w:cs="Arial"/>
          <w:sz w:val="24"/>
          <w:szCs w:val="24"/>
          <w:lang w:val="en-US" w:eastAsia="zh-CN"/>
        </w:rPr>
        <w:t>9</w:t>
      </w:r>
      <w:r>
        <w:rPr>
          <w:rFonts w:hint="eastAsia" w:ascii="宋体" w:hAnsi="宋体" w:eastAsia="宋体" w:cs="Arial"/>
          <w:sz w:val="24"/>
          <w:szCs w:val="24"/>
        </w:rPr>
        <w:t>学分</w:t>
      </w:r>
      <w:r>
        <w:rPr>
          <w:rFonts w:ascii="宋体" w:hAnsi="宋体" w:eastAsia="宋体" w:cs="Arial"/>
          <w:sz w:val="24"/>
          <w:szCs w:val="24"/>
        </w:rPr>
        <w:t>）</w:t>
      </w:r>
    </w:p>
    <w:p>
      <w:pPr>
        <w:pStyle w:val="6"/>
        <w:spacing w:before="0" w:beforeAutospacing="0" w:after="0" w:afterAutospacing="0" w:line="360" w:lineRule="auto"/>
        <w:ind w:firstLine="480" w:firstLineChars="200"/>
        <w:jc w:val="both"/>
        <w:rPr>
          <w:rFonts w:cs="Arial"/>
        </w:rPr>
      </w:pPr>
      <w:r>
        <w:rPr>
          <w:rFonts w:hint="eastAsia" w:cs="Arial"/>
        </w:rPr>
        <w:t>（三）任选课（15学分）</w:t>
      </w:r>
    </w:p>
    <w:p>
      <w:pPr>
        <w:widowControl/>
        <w:spacing w:line="360" w:lineRule="auto"/>
        <w:ind w:firstLine="480" w:firstLineChars="200"/>
        <w:rPr>
          <w:rFonts w:ascii="宋体" w:hAnsi="宋体" w:eastAsia="宋体" w:cs="Arial"/>
          <w:sz w:val="24"/>
          <w:szCs w:val="24"/>
        </w:rPr>
      </w:pPr>
      <w:r>
        <w:rPr>
          <w:rFonts w:ascii="宋体" w:hAnsi="宋体" w:eastAsia="宋体" w:cs="宋体"/>
          <w:sz w:val="24"/>
          <w:szCs w:val="24"/>
        </w:rPr>
        <w:t>公共艺术类课程须修读2学分</w:t>
      </w:r>
      <w:r>
        <w:rPr>
          <w:rFonts w:hint="eastAsia" w:ascii="宋体" w:hAnsi="宋体" w:eastAsia="宋体" w:cs="宋体"/>
          <w:sz w:val="24"/>
          <w:szCs w:val="24"/>
          <w:lang w:val="en-US" w:eastAsia="zh-CN"/>
        </w:rPr>
        <w:t>及</w:t>
      </w:r>
      <w:r>
        <w:rPr>
          <w:rFonts w:ascii="宋体" w:hAnsi="宋体" w:eastAsia="宋体" w:cs="宋体"/>
          <w:sz w:val="24"/>
          <w:szCs w:val="24"/>
        </w:rPr>
        <w:t>以上。</w:t>
      </w:r>
      <w:r>
        <w:rPr>
          <w:rStyle w:val="10"/>
          <w:rFonts w:hint="eastAsia" w:ascii="宋体" w:hAnsi="宋体" w:eastAsia="宋体" w:cs="Times New Roman"/>
          <w:b w:val="0"/>
          <w:snapToGrid/>
          <w:kern w:val="0"/>
          <w:sz w:val="24"/>
          <w:szCs w:val="24"/>
        </w:rPr>
        <w:t>参加《普通话》任选课学习并通过考试或自行参加普通话水平测试分数达二级乙等（80分）及以上，可计1学分</w:t>
      </w:r>
      <w:r>
        <w:rPr>
          <w:rStyle w:val="10"/>
          <w:rFonts w:hint="eastAsia" w:ascii="宋体" w:hAnsi="宋体" w:eastAsia="宋体" w:cs="Times New Roman"/>
          <w:b w:val="0"/>
          <w:snapToGrid/>
          <w:kern w:val="0"/>
          <w:sz w:val="24"/>
          <w:szCs w:val="24"/>
          <w:lang w:eastAsia="zh-CN"/>
        </w:rPr>
        <w:t>；</w:t>
      </w:r>
      <w:r>
        <w:rPr>
          <w:rStyle w:val="10"/>
          <w:rFonts w:hint="eastAsia" w:ascii="宋体" w:hAnsi="宋体" w:eastAsia="宋体" w:cs="Times New Roman"/>
          <w:b w:val="0"/>
          <w:snapToGrid/>
          <w:kern w:val="0"/>
          <w:sz w:val="24"/>
          <w:szCs w:val="24"/>
        </w:rPr>
        <w:t>根据《广西医科大学本科生课外素质教育奖励学分管理办法》，奖励学分可作为任选课学分记载，但不得超过任选课学分的50%。</w:t>
      </w:r>
    </w:p>
    <w:p>
      <w:pPr>
        <w:widowControl/>
        <w:spacing w:line="360" w:lineRule="auto"/>
        <w:ind w:firstLine="480" w:firstLineChars="200"/>
        <w:rPr>
          <w:rFonts w:ascii="宋体" w:hAnsi="宋体" w:eastAsia="宋体" w:cs="Arial"/>
          <w:sz w:val="24"/>
          <w:szCs w:val="24"/>
        </w:rPr>
      </w:pPr>
      <w:r>
        <w:rPr>
          <w:rFonts w:ascii="宋体" w:hAnsi="宋体" w:eastAsia="宋体" w:cs="Arial"/>
          <w:sz w:val="24"/>
          <w:szCs w:val="24"/>
        </w:rPr>
        <w:t>（</w:t>
      </w:r>
      <w:r>
        <w:rPr>
          <w:rFonts w:hint="eastAsia" w:ascii="宋体" w:hAnsi="宋体" w:eastAsia="宋体" w:cs="Arial"/>
          <w:sz w:val="24"/>
          <w:szCs w:val="24"/>
        </w:rPr>
        <w:t>四</w:t>
      </w:r>
      <w:r>
        <w:rPr>
          <w:rFonts w:ascii="宋体" w:hAnsi="宋体" w:eastAsia="宋体" w:cs="Arial"/>
          <w:sz w:val="24"/>
          <w:szCs w:val="24"/>
        </w:rPr>
        <w:t>）</w:t>
      </w:r>
      <w:r>
        <w:rPr>
          <w:rFonts w:hint="eastAsia" w:ascii="宋体" w:hAnsi="宋体" w:eastAsia="宋体" w:cs="Arial"/>
          <w:sz w:val="24"/>
          <w:szCs w:val="24"/>
        </w:rPr>
        <w:t>毕业实习：共48周，28学分</w:t>
      </w:r>
    </w:p>
    <w:p>
      <w:pPr>
        <w:spacing w:line="360" w:lineRule="auto"/>
        <w:ind w:firstLine="480" w:firstLineChars="200"/>
        <w:rPr>
          <w:rFonts w:ascii="宋体" w:hAnsi="宋体" w:eastAsia="宋体"/>
          <w:strike/>
          <w:sz w:val="24"/>
          <w:szCs w:val="24"/>
        </w:rPr>
      </w:pPr>
      <w:r>
        <w:rPr>
          <w:rFonts w:hint="eastAsia" w:ascii="宋体" w:hAnsi="宋体" w:eastAsia="宋体"/>
          <w:sz w:val="24"/>
          <w:szCs w:val="24"/>
        </w:rPr>
        <w:t>1. 科学研究方向：主要在高等院校或科研机构进行课题研究。研究课题由实习教学基地或课题组根据实际情况提出，学生可以参加教师、科研人员科研工作某一阶段，也可以单独为学生设置合适的科研专题。结合学生对专题实习内容的兴趣和爱好，安排学生分别从事细胞生物学、遗传学、分子生物学、体外诊断技术、生物化学、免疫学、生物制品学以及细胞工程、基因工程及发酵工程等方面的研究。</w:t>
      </w:r>
    </w:p>
    <w:p>
      <w:pPr>
        <w:spacing w:line="360" w:lineRule="auto"/>
        <w:ind w:firstLine="480" w:firstLineChars="200"/>
        <w:rPr>
          <w:rFonts w:ascii="宋体" w:hAnsi="宋体" w:eastAsia="宋体"/>
          <w:strike/>
          <w:sz w:val="24"/>
          <w:szCs w:val="24"/>
        </w:rPr>
      </w:pPr>
      <w:r>
        <w:rPr>
          <w:rFonts w:hint="eastAsia" w:ascii="宋体" w:hAnsi="宋体" w:eastAsia="宋体"/>
          <w:sz w:val="24"/>
          <w:szCs w:val="24"/>
        </w:rPr>
        <w:t>2. 生产管理方向：主要在医药生物技术相关企业进行技术开发的实践。结合实习单位的生产与研发情况，利用所学专业知识，在实践中应用和服务于生产单位，并把理论与实践相结合，提高自身素质技能。根据实习单位条件选取下列内容进行实习：如体外诊断产业技术、发酵流程与工艺、细胞培养流程与技术、基因工程、酶工程流程与基本操作技术以及生物制品和产品的分离、检验等。</w:t>
      </w:r>
    </w:p>
    <w:p>
      <w:pPr>
        <w:spacing w:line="360" w:lineRule="auto"/>
        <w:ind w:firstLine="480" w:firstLineChars="200"/>
        <w:rPr>
          <w:rFonts w:ascii="宋体" w:hAnsi="宋体" w:eastAsia="宋体"/>
          <w:strike/>
          <w:sz w:val="24"/>
          <w:szCs w:val="24"/>
        </w:rPr>
      </w:pPr>
      <w:r>
        <w:rPr>
          <w:rFonts w:hint="eastAsia" w:ascii="宋体" w:hAnsi="宋体" w:eastAsia="宋体"/>
          <w:sz w:val="24"/>
          <w:szCs w:val="24"/>
        </w:rPr>
        <w:t>3. 临床、食品卫生检验方向：主要在医院或食品卫生部门进行临床检验或食品安全检验的实践。根据实习单位条件选取下列内容进行实习：如临床生物化学、</w:t>
      </w:r>
      <w:r>
        <w:rPr>
          <w:rFonts w:ascii="宋体" w:hAnsi="宋体" w:eastAsia="宋体"/>
          <w:sz w:val="24"/>
          <w:szCs w:val="24"/>
        </w:rPr>
        <w:t>临床微生物学、临床免疫学、分子生物学</w:t>
      </w:r>
      <w:r>
        <w:rPr>
          <w:rFonts w:hint="eastAsia" w:ascii="宋体" w:hAnsi="宋体" w:eastAsia="宋体"/>
          <w:sz w:val="24"/>
          <w:szCs w:val="24"/>
        </w:rPr>
        <w:t>、</w:t>
      </w:r>
      <w:r>
        <w:rPr>
          <w:rFonts w:ascii="宋体" w:hAnsi="宋体" w:eastAsia="宋体"/>
          <w:sz w:val="24"/>
          <w:szCs w:val="24"/>
        </w:rPr>
        <w:t>遗传学</w:t>
      </w:r>
      <w:r>
        <w:rPr>
          <w:rFonts w:hint="eastAsia" w:ascii="宋体" w:hAnsi="宋体" w:eastAsia="宋体"/>
          <w:sz w:val="24"/>
          <w:szCs w:val="24"/>
        </w:rPr>
        <w:t>或食品安全与检验等。</w:t>
      </w:r>
    </w:p>
    <w:p>
      <w:pPr>
        <w:spacing w:line="360" w:lineRule="auto"/>
        <w:ind w:firstLine="480" w:firstLineChars="200"/>
        <w:rPr>
          <w:rFonts w:ascii="宋体" w:hAnsi="宋体" w:eastAsia="宋体"/>
          <w:sz w:val="24"/>
          <w:szCs w:val="24"/>
        </w:rPr>
      </w:pPr>
      <w:r>
        <w:rPr>
          <w:rFonts w:hint="eastAsia" w:ascii="宋体" w:hAnsi="宋体" w:eastAsia="宋体"/>
          <w:sz w:val="24"/>
          <w:szCs w:val="24"/>
        </w:rPr>
        <w:t>（五）社会实践：共2周，2学分</w:t>
      </w:r>
    </w:p>
    <w:p>
      <w:pPr>
        <w:pStyle w:val="2"/>
        <w:spacing w:after="0" w:line="360" w:lineRule="auto"/>
        <w:ind w:left="0" w:leftChars="0" w:firstLine="480" w:firstLineChars="200"/>
        <w:rPr>
          <w:rStyle w:val="10"/>
          <w:rFonts w:ascii="宋体" w:hAnsi="宋体"/>
          <w:b w:val="0"/>
          <w:kern w:val="0"/>
        </w:rPr>
      </w:pPr>
      <w:r>
        <w:rPr>
          <w:rStyle w:val="10"/>
          <w:rFonts w:hint="eastAsia" w:ascii="宋体" w:hAnsi="宋体"/>
          <w:b w:val="0"/>
          <w:kern w:val="0"/>
        </w:rPr>
        <w:t>（1）假期</w:t>
      </w:r>
      <w:r>
        <w:rPr>
          <w:rStyle w:val="10"/>
          <w:rFonts w:ascii="宋体" w:hAnsi="宋体"/>
          <w:b w:val="0"/>
          <w:kern w:val="0"/>
        </w:rPr>
        <w:t>社会实践</w:t>
      </w:r>
      <w:r>
        <w:rPr>
          <w:rStyle w:val="10"/>
          <w:rFonts w:hint="eastAsia" w:ascii="宋体" w:hAnsi="宋体"/>
          <w:b w:val="0"/>
          <w:kern w:val="0"/>
        </w:rPr>
        <w:t>：</w:t>
      </w:r>
      <w:r>
        <w:rPr>
          <w:rStyle w:val="10"/>
          <w:rFonts w:ascii="宋体" w:hAnsi="宋体"/>
          <w:b w:val="0"/>
          <w:kern w:val="0"/>
        </w:rPr>
        <w:t>寒暑</w:t>
      </w:r>
      <w:r>
        <w:rPr>
          <w:rStyle w:val="10"/>
          <w:rFonts w:hint="eastAsia" w:ascii="宋体" w:hAnsi="宋体"/>
          <w:b w:val="0"/>
          <w:kern w:val="0"/>
        </w:rPr>
        <w:t>假</w:t>
      </w:r>
      <w:r>
        <w:rPr>
          <w:rStyle w:val="10"/>
          <w:rFonts w:ascii="宋体" w:hAnsi="宋体"/>
          <w:b w:val="0"/>
          <w:kern w:val="0"/>
        </w:rPr>
        <w:t>社会实践</w:t>
      </w:r>
      <w:r>
        <w:rPr>
          <w:rStyle w:val="10"/>
          <w:rFonts w:hint="eastAsia" w:ascii="宋体" w:hAnsi="宋体"/>
          <w:b w:val="0"/>
          <w:kern w:val="0"/>
        </w:rPr>
        <w:t>，36学时（1周）计1学分。</w:t>
      </w:r>
    </w:p>
    <w:p>
      <w:pPr>
        <w:pStyle w:val="2"/>
        <w:spacing w:after="0" w:line="360" w:lineRule="auto"/>
        <w:ind w:left="0" w:leftChars="0" w:firstLine="480" w:firstLineChars="200"/>
        <w:rPr>
          <w:rStyle w:val="10"/>
          <w:rFonts w:ascii="宋体" w:hAnsi="宋体"/>
          <w:b w:val="0"/>
          <w:kern w:val="0"/>
        </w:rPr>
      </w:pPr>
      <w:r>
        <w:rPr>
          <w:rStyle w:val="10"/>
          <w:rFonts w:hint="eastAsia" w:ascii="宋体" w:hAnsi="宋体"/>
          <w:b w:val="0"/>
          <w:kern w:val="0"/>
        </w:rPr>
        <w:t>（2）志愿</w:t>
      </w:r>
      <w:r>
        <w:rPr>
          <w:rStyle w:val="10"/>
          <w:rFonts w:ascii="宋体" w:hAnsi="宋体"/>
          <w:b w:val="0"/>
          <w:kern w:val="0"/>
        </w:rPr>
        <w:t>服务：校内外志愿服务活动，</w:t>
      </w:r>
      <w:r>
        <w:rPr>
          <w:rStyle w:val="10"/>
          <w:rFonts w:hint="eastAsia" w:ascii="宋体" w:hAnsi="宋体"/>
          <w:b w:val="0"/>
          <w:kern w:val="0"/>
        </w:rPr>
        <w:t>36学时（1周）计1学分。</w:t>
      </w:r>
    </w:p>
    <w:p>
      <w:pPr>
        <w:pStyle w:val="2"/>
        <w:spacing w:after="0" w:line="360" w:lineRule="auto"/>
        <w:ind w:left="0" w:leftChars="0" w:firstLine="480" w:firstLineChars="200"/>
        <w:rPr>
          <w:rStyle w:val="10"/>
          <w:rFonts w:ascii="宋体" w:hAnsi="宋体"/>
          <w:b w:val="0"/>
          <w:kern w:val="0"/>
        </w:rPr>
      </w:pPr>
      <w:r>
        <w:rPr>
          <w:rStyle w:val="10"/>
          <w:rFonts w:hint="eastAsia" w:ascii="宋体" w:hAnsi="宋体"/>
          <w:b w:val="0"/>
          <w:kern w:val="0"/>
        </w:rPr>
        <w:t>（3）</w:t>
      </w:r>
      <w:r>
        <w:rPr>
          <w:rFonts w:hint="eastAsia" w:ascii="宋体" w:hAnsi="宋体"/>
        </w:rPr>
        <w:t>公益劳动：</w:t>
      </w:r>
      <w:r>
        <w:rPr>
          <w:rFonts w:ascii="宋体" w:hAnsi="宋体"/>
        </w:rPr>
        <w:t>校内外公益劳动</w:t>
      </w:r>
      <w:r>
        <w:rPr>
          <w:rFonts w:hint="eastAsia" w:ascii="宋体" w:hAnsi="宋体"/>
        </w:rPr>
        <w:t>，</w:t>
      </w:r>
      <w:r>
        <w:rPr>
          <w:rFonts w:ascii="宋体" w:hAnsi="宋体"/>
        </w:rPr>
        <w:t>每学期</w:t>
      </w:r>
      <w:r>
        <w:rPr>
          <w:rFonts w:hint="eastAsia" w:ascii="宋体" w:hAnsi="宋体"/>
        </w:rPr>
        <w:t>1学时。</w:t>
      </w:r>
    </w:p>
    <w:p>
      <w:pPr>
        <w:pStyle w:val="2"/>
        <w:spacing w:after="0" w:line="360" w:lineRule="auto"/>
        <w:ind w:left="0" w:leftChars="0" w:firstLine="480" w:firstLineChars="200"/>
        <w:rPr>
          <w:rStyle w:val="10"/>
          <w:rFonts w:ascii="宋体" w:hAnsi="宋体"/>
          <w:b w:val="0"/>
          <w:kern w:val="0"/>
        </w:rPr>
      </w:pPr>
      <w:r>
        <w:rPr>
          <w:rStyle w:val="10"/>
          <w:rFonts w:hint="eastAsia" w:ascii="宋体" w:hAnsi="宋体"/>
          <w:b w:val="0"/>
          <w:kern w:val="0"/>
        </w:rPr>
        <w:t>单项或者</w:t>
      </w:r>
      <w:r>
        <w:rPr>
          <w:rStyle w:val="10"/>
          <w:rFonts w:ascii="宋体" w:hAnsi="宋体"/>
          <w:b w:val="0"/>
          <w:kern w:val="0"/>
        </w:rPr>
        <w:t>累计学分满</w:t>
      </w:r>
      <w:r>
        <w:rPr>
          <w:rStyle w:val="10"/>
          <w:rFonts w:hint="eastAsia" w:ascii="宋体" w:hAnsi="宋体"/>
          <w:b w:val="0"/>
          <w:kern w:val="0"/>
        </w:rPr>
        <w:t>2学分</w:t>
      </w:r>
      <w:r>
        <w:rPr>
          <w:rStyle w:val="10"/>
          <w:rFonts w:ascii="宋体" w:hAnsi="宋体"/>
          <w:b w:val="0"/>
          <w:kern w:val="0"/>
        </w:rPr>
        <w:t>者，计</w:t>
      </w:r>
      <w:r>
        <w:rPr>
          <w:rStyle w:val="10"/>
          <w:rFonts w:hint="eastAsia" w:ascii="宋体" w:hAnsi="宋体"/>
          <w:b w:val="0"/>
          <w:kern w:val="0"/>
        </w:rPr>
        <w:t>2学分</w:t>
      </w:r>
      <w:r>
        <w:rPr>
          <w:rStyle w:val="10"/>
          <w:rFonts w:ascii="宋体" w:hAnsi="宋体"/>
          <w:b w:val="0"/>
          <w:kern w:val="0"/>
        </w:rPr>
        <w:t>。</w:t>
      </w:r>
    </w:p>
    <w:p>
      <w:pPr>
        <w:pStyle w:val="6"/>
        <w:spacing w:before="0" w:beforeAutospacing="0" w:after="0" w:afterAutospacing="0" w:line="360" w:lineRule="auto"/>
        <w:jc w:val="both"/>
        <w:rPr>
          <w:rStyle w:val="10"/>
        </w:rPr>
      </w:pPr>
      <w:r>
        <w:rPr>
          <w:rStyle w:val="10"/>
          <w:rFonts w:hint="eastAsia"/>
        </w:rPr>
        <w:t>六</w:t>
      </w:r>
      <w:r>
        <w:rPr>
          <w:rStyle w:val="10"/>
        </w:rPr>
        <w:t>、</w:t>
      </w:r>
      <w:r>
        <w:rPr>
          <w:rStyle w:val="10"/>
          <w:rFonts w:hint="eastAsia"/>
        </w:rPr>
        <w:t xml:space="preserve">学制及修业年限   </w:t>
      </w:r>
    </w:p>
    <w:p>
      <w:pPr>
        <w:pStyle w:val="6"/>
        <w:spacing w:before="0" w:beforeAutospacing="0" w:after="0" w:afterAutospacing="0" w:line="360" w:lineRule="auto"/>
        <w:ind w:firstLine="480" w:firstLineChars="200"/>
        <w:jc w:val="both"/>
        <w:rPr>
          <w:rStyle w:val="10"/>
          <w:b w:val="0"/>
        </w:rPr>
      </w:pPr>
      <w:r>
        <w:rPr>
          <w:rStyle w:val="10"/>
          <w:rFonts w:hint="eastAsia"/>
          <w:b w:val="0"/>
        </w:rPr>
        <w:t>（一）基本学制：4年</w:t>
      </w:r>
    </w:p>
    <w:p>
      <w:pPr>
        <w:pStyle w:val="6"/>
        <w:spacing w:before="0" w:beforeAutospacing="0" w:after="0" w:afterAutospacing="0" w:line="360" w:lineRule="auto"/>
        <w:ind w:firstLine="480" w:firstLineChars="200"/>
        <w:jc w:val="both"/>
        <w:rPr>
          <w:rStyle w:val="10"/>
          <w:b w:val="0"/>
        </w:rPr>
      </w:pPr>
      <w:r>
        <w:rPr>
          <w:rStyle w:val="10"/>
          <w:rFonts w:hint="eastAsia"/>
          <w:b w:val="0"/>
        </w:rPr>
        <w:t>（二）修业年限：4～7年</w:t>
      </w:r>
    </w:p>
    <w:p>
      <w:pPr>
        <w:pStyle w:val="6"/>
        <w:spacing w:before="0" w:beforeAutospacing="0" w:after="0" w:afterAutospacing="0" w:line="360" w:lineRule="auto"/>
        <w:ind w:firstLine="480" w:firstLineChars="200"/>
        <w:jc w:val="both"/>
        <w:rPr>
          <w:bCs/>
        </w:rPr>
      </w:pPr>
      <w:r>
        <w:rPr>
          <w:rStyle w:val="10"/>
          <w:rFonts w:hint="eastAsia"/>
          <w:b w:val="0"/>
        </w:rPr>
        <w:t>（三）各学年时间分配（表1）</w:t>
      </w:r>
    </w:p>
    <w:p>
      <w:pPr>
        <w:pStyle w:val="6"/>
        <w:spacing w:before="0" w:beforeAutospacing="0" w:after="0" w:afterAutospacing="0" w:line="360" w:lineRule="auto"/>
        <w:ind w:firstLine="420" w:firstLineChars="200"/>
        <w:jc w:val="center"/>
        <w:rPr>
          <w:rFonts w:cs="宋体"/>
          <w:sz w:val="21"/>
          <w:szCs w:val="21"/>
        </w:rPr>
      </w:pPr>
      <w:r>
        <w:rPr>
          <w:rFonts w:hint="eastAsia" w:cs="宋体"/>
          <w:sz w:val="21"/>
          <w:szCs w:val="21"/>
        </w:rPr>
        <w:t xml:space="preserve">表1  </w:t>
      </w:r>
      <w:r>
        <w:rPr>
          <w:rFonts w:hint="eastAsia"/>
          <w:bCs/>
          <w:kern w:val="36"/>
          <w:sz w:val="21"/>
          <w:szCs w:val="21"/>
        </w:rPr>
        <w:t>四年制</w:t>
      </w:r>
      <w:r>
        <w:rPr>
          <w:sz w:val="21"/>
          <w:szCs w:val="21"/>
        </w:rPr>
        <w:t>生物</w:t>
      </w:r>
      <w:r>
        <w:rPr>
          <w:rFonts w:hint="eastAsia"/>
          <w:sz w:val="21"/>
          <w:szCs w:val="21"/>
        </w:rPr>
        <w:t>技术</w:t>
      </w:r>
      <w:r>
        <w:rPr>
          <w:rFonts w:hint="eastAsia"/>
          <w:bCs/>
          <w:kern w:val="36"/>
          <w:sz w:val="21"/>
          <w:szCs w:val="21"/>
        </w:rPr>
        <w:t>专业</w:t>
      </w:r>
      <w:r>
        <w:rPr>
          <w:rFonts w:hint="eastAsia" w:cs="宋体"/>
          <w:sz w:val="21"/>
          <w:szCs w:val="21"/>
        </w:rPr>
        <w:t>各学年时间分配表（单位：周）</w:t>
      </w:r>
    </w:p>
    <w:tbl>
      <w:tblPr>
        <w:tblStyle w:val="7"/>
        <w:tblW w:w="0" w:type="auto"/>
        <w:jc w:val="center"/>
        <w:tblLayout w:type="fixed"/>
        <w:tblCellMar>
          <w:top w:w="0" w:type="dxa"/>
          <w:left w:w="108" w:type="dxa"/>
          <w:bottom w:w="0" w:type="dxa"/>
          <w:right w:w="108" w:type="dxa"/>
        </w:tblCellMar>
      </w:tblPr>
      <w:tblGrid>
        <w:gridCol w:w="1293"/>
        <w:gridCol w:w="1264"/>
        <w:gridCol w:w="1440"/>
        <w:gridCol w:w="1260"/>
        <w:gridCol w:w="1260"/>
        <w:gridCol w:w="1440"/>
        <w:gridCol w:w="1321"/>
      </w:tblGrid>
      <w:tr>
        <w:tblPrEx>
          <w:tblCellMar>
            <w:top w:w="0" w:type="dxa"/>
            <w:left w:w="108" w:type="dxa"/>
            <w:bottom w:w="0" w:type="dxa"/>
            <w:right w:w="108" w:type="dxa"/>
          </w:tblCellMar>
        </w:tblPrEx>
        <w:trPr>
          <w:jc w:val="center"/>
        </w:trPr>
        <w:tc>
          <w:tcPr>
            <w:tcW w:w="1293" w:type="dxa"/>
            <w:tcBorders>
              <w:top w:val="single" w:color="auto" w:sz="4" w:space="0"/>
              <w:bottom w:val="single" w:color="auto" w:sz="4" w:space="0"/>
            </w:tcBorders>
            <w:vAlign w:val="center"/>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学年</w:t>
            </w:r>
          </w:p>
        </w:tc>
        <w:tc>
          <w:tcPr>
            <w:tcW w:w="1264" w:type="dxa"/>
            <w:tcBorders>
              <w:top w:val="single" w:color="auto" w:sz="4" w:space="0"/>
              <w:bottom w:val="single" w:color="auto" w:sz="4" w:space="0"/>
            </w:tcBorders>
            <w:vAlign w:val="center"/>
          </w:tcPr>
          <w:p>
            <w:pPr>
              <w:pStyle w:val="6"/>
              <w:spacing w:before="0" w:beforeAutospacing="0" w:after="0" w:afterAutospacing="0" w:line="360" w:lineRule="auto"/>
              <w:ind w:firstLine="102" w:firstLineChars="49"/>
              <w:jc w:val="center"/>
              <w:rPr>
                <w:rStyle w:val="10"/>
                <w:b w:val="0"/>
                <w:sz w:val="21"/>
                <w:szCs w:val="21"/>
              </w:rPr>
            </w:pPr>
            <w:r>
              <w:rPr>
                <w:rStyle w:val="10"/>
                <w:rFonts w:hint="eastAsia"/>
                <w:b w:val="0"/>
                <w:sz w:val="21"/>
                <w:szCs w:val="21"/>
              </w:rPr>
              <w:t>教学</w:t>
            </w:r>
          </w:p>
        </w:tc>
        <w:tc>
          <w:tcPr>
            <w:tcW w:w="1440" w:type="dxa"/>
            <w:tcBorders>
              <w:top w:val="single" w:color="auto" w:sz="4" w:space="0"/>
              <w:bottom w:val="single" w:color="auto" w:sz="4" w:space="0"/>
            </w:tcBorders>
            <w:vAlign w:val="center"/>
          </w:tcPr>
          <w:p>
            <w:pPr>
              <w:pStyle w:val="6"/>
              <w:spacing w:before="0" w:beforeAutospacing="0" w:after="0" w:afterAutospacing="0" w:line="360" w:lineRule="auto"/>
              <w:ind w:firstLine="205" w:firstLineChars="98"/>
              <w:jc w:val="center"/>
              <w:rPr>
                <w:rStyle w:val="10"/>
                <w:b w:val="0"/>
                <w:sz w:val="21"/>
                <w:szCs w:val="21"/>
              </w:rPr>
            </w:pPr>
            <w:r>
              <w:rPr>
                <w:rStyle w:val="10"/>
                <w:rFonts w:hint="eastAsia"/>
                <w:b w:val="0"/>
                <w:sz w:val="21"/>
                <w:szCs w:val="21"/>
              </w:rPr>
              <w:t>考试</w:t>
            </w:r>
          </w:p>
        </w:tc>
        <w:tc>
          <w:tcPr>
            <w:tcW w:w="1260" w:type="dxa"/>
            <w:tcBorders>
              <w:top w:val="single" w:color="auto" w:sz="4" w:space="0"/>
              <w:bottom w:val="single" w:color="auto" w:sz="4" w:space="0"/>
            </w:tcBorders>
            <w:vAlign w:val="center"/>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毕业实习</w:t>
            </w:r>
          </w:p>
        </w:tc>
        <w:tc>
          <w:tcPr>
            <w:tcW w:w="1260" w:type="dxa"/>
            <w:tcBorders>
              <w:top w:val="single" w:color="auto" w:sz="4" w:space="0"/>
              <w:bottom w:val="single" w:color="auto" w:sz="4" w:space="0"/>
            </w:tcBorders>
            <w:vAlign w:val="center"/>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机动</w:t>
            </w:r>
          </w:p>
        </w:tc>
        <w:tc>
          <w:tcPr>
            <w:tcW w:w="1440" w:type="dxa"/>
            <w:tcBorders>
              <w:top w:val="single" w:color="auto" w:sz="4" w:space="0"/>
              <w:bottom w:val="single" w:color="auto" w:sz="4" w:space="0"/>
            </w:tcBorders>
            <w:vAlign w:val="center"/>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假期</w:t>
            </w:r>
          </w:p>
        </w:tc>
        <w:tc>
          <w:tcPr>
            <w:tcW w:w="1321" w:type="dxa"/>
            <w:tcBorders>
              <w:top w:val="single" w:color="auto" w:sz="4" w:space="0"/>
              <w:bottom w:val="single" w:color="auto" w:sz="4" w:space="0"/>
            </w:tcBorders>
            <w:vAlign w:val="center"/>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合计</w:t>
            </w:r>
          </w:p>
        </w:tc>
      </w:tr>
      <w:tr>
        <w:tblPrEx>
          <w:tblCellMar>
            <w:top w:w="0" w:type="dxa"/>
            <w:left w:w="108" w:type="dxa"/>
            <w:bottom w:w="0" w:type="dxa"/>
            <w:right w:w="108" w:type="dxa"/>
          </w:tblCellMar>
        </w:tblPrEx>
        <w:trPr>
          <w:jc w:val="center"/>
        </w:trPr>
        <w:tc>
          <w:tcPr>
            <w:tcW w:w="1293" w:type="dxa"/>
            <w:tcBorders>
              <w:top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一</w:t>
            </w:r>
          </w:p>
        </w:tc>
        <w:tc>
          <w:tcPr>
            <w:tcW w:w="1264" w:type="dxa"/>
            <w:tcBorders>
              <w:top w:val="single" w:color="auto" w:sz="4" w:space="0"/>
            </w:tcBorders>
          </w:tcPr>
          <w:p>
            <w:pPr>
              <w:pStyle w:val="6"/>
              <w:tabs>
                <w:tab w:val="center" w:pos="417"/>
              </w:tabs>
              <w:spacing w:before="0" w:beforeAutospacing="0" w:after="0" w:afterAutospacing="0" w:line="360" w:lineRule="auto"/>
              <w:jc w:val="center"/>
              <w:rPr>
                <w:rStyle w:val="10"/>
                <w:b w:val="0"/>
                <w:sz w:val="21"/>
                <w:szCs w:val="21"/>
              </w:rPr>
            </w:pPr>
            <w:r>
              <w:rPr>
                <w:rStyle w:val="10"/>
                <w:rFonts w:hint="eastAsia"/>
                <w:b w:val="0"/>
                <w:sz w:val="21"/>
                <w:szCs w:val="21"/>
              </w:rPr>
              <w:t>31</w:t>
            </w:r>
          </w:p>
        </w:tc>
        <w:tc>
          <w:tcPr>
            <w:tcW w:w="1440" w:type="dxa"/>
            <w:tcBorders>
              <w:top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4</w:t>
            </w:r>
          </w:p>
        </w:tc>
        <w:tc>
          <w:tcPr>
            <w:tcW w:w="1260" w:type="dxa"/>
            <w:tcBorders>
              <w:top w:val="single" w:color="auto" w:sz="4" w:space="0"/>
            </w:tcBorders>
          </w:tcPr>
          <w:p>
            <w:pPr>
              <w:pStyle w:val="6"/>
              <w:spacing w:before="0" w:beforeAutospacing="0" w:after="0" w:afterAutospacing="0" w:line="360" w:lineRule="auto"/>
              <w:jc w:val="center"/>
              <w:rPr>
                <w:rStyle w:val="10"/>
                <w:b w:val="0"/>
                <w:sz w:val="21"/>
                <w:szCs w:val="21"/>
              </w:rPr>
            </w:pPr>
          </w:p>
        </w:tc>
        <w:tc>
          <w:tcPr>
            <w:tcW w:w="1260" w:type="dxa"/>
            <w:tcBorders>
              <w:top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3</w:t>
            </w:r>
          </w:p>
        </w:tc>
        <w:tc>
          <w:tcPr>
            <w:tcW w:w="1440" w:type="dxa"/>
            <w:tcBorders>
              <w:top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14</w:t>
            </w:r>
          </w:p>
        </w:tc>
        <w:tc>
          <w:tcPr>
            <w:tcW w:w="1321" w:type="dxa"/>
            <w:tcBorders>
              <w:top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52</w:t>
            </w:r>
          </w:p>
        </w:tc>
      </w:tr>
      <w:tr>
        <w:tblPrEx>
          <w:tblCellMar>
            <w:top w:w="0" w:type="dxa"/>
            <w:left w:w="108" w:type="dxa"/>
            <w:bottom w:w="0" w:type="dxa"/>
            <w:right w:w="108" w:type="dxa"/>
          </w:tblCellMar>
        </w:tblPrEx>
        <w:trPr>
          <w:jc w:val="center"/>
        </w:trPr>
        <w:tc>
          <w:tcPr>
            <w:tcW w:w="1293"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二</w:t>
            </w:r>
          </w:p>
        </w:tc>
        <w:tc>
          <w:tcPr>
            <w:tcW w:w="1264" w:type="dxa"/>
          </w:tcPr>
          <w:p>
            <w:pPr>
              <w:pStyle w:val="6"/>
              <w:tabs>
                <w:tab w:val="center" w:pos="417"/>
              </w:tabs>
              <w:spacing w:before="0" w:beforeAutospacing="0" w:after="0" w:afterAutospacing="0" w:line="360" w:lineRule="auto"/>
              <w:jc w:val="center"/>
              <w:rPr>
                <w:rStyle w:val="10"/>
                <w:b w:val="0"/>
                <w:sz w:val="21"/>
                <w:szCs w:val="21"/>
              </w:rPr>
            </w:pPr>
            <w:r>
              <w:rPr>
                <w:rStyle w:val="10"/>
                <w:rFonts w:hint="eastAsia"/>
                <w:b w:val="0"/>
                <w:sz w:val="21"/>
                <w:szCs w:val="21"/>
              </w:rPr>
              <w:t>32</w:t>
            </w:r>
          </w:p>
        </w:tc>
        <w:tc>
          <w:tcPr>
            <w:tcW w:w="144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4</w:t>
            </w:r>
          </w:p>
        </w:tc>
        <w:tc>
          <w:tcPr>
            <w:tcW w:w="1260" w:type="dxa"/>
          </w:tcPr>
          <w:p>
            <w:pPr>
              <w:pStyle w:val="6"/>
              <w:spacing w:before="0" w:beforeAutospacing="0" w:after="0" w:afterAutospacing="0" w:line="360" w:lineRule="auto"/>
              <w:jc w:val="center"/>
              <w:rPr>
                <w:rStyle w:val="10"/>
                <w:b w:val="0"/>
                <w:sz w:val="21"/>
                <w:szCs w:val="21"/>
              </w:rPr>
            </w:pPr>
          </w:p>
        </w:tc>
        <w:tc>
          <w:tcPr>
            <w:tcW w:w="126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2</w:t>
            </w:r>
          </w:p>
        </w:tc>
        <w:tc>
          <w:tcPr>
            <w:tcW w:w="144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14</w:t>
            </w:r>
          </w:p>
        </w:tc>
        <w:tc>
          <w:tcPr>
            <w:tcW w:w="1321"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52</w:t>
            </w:r>
          </w:p>
        </w:tc>
      </w:tr>
      <w:tr>
        <w:tblPrEx>
          <w:tblCellMar>
            <w:top w:w="0" w:type="dxa"/>
            <w:left w:w="108" w:type="dxa"/>
            <w:bottom w:w="0" w:type="dxa"/>
            <w:right w:w="108" w:type="dxa"/>
          </w:tblCellMar>
        </w:tblPrEx>
        <w:trPr>
          <w:jc w:val="center"/>
        </w:trPr>
        <w:tc>
          <w:tcPr>
            <w:tcW w:w="1293"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三</w:t>
            </w:r>
          </w:p>
        </w:tc>
        <w:tc>
          <w:tcPr>
            <w:tcW w:w="1264" w:type="dxa"/>
          </w:tcPr>
          <w:p>
            <w:pPr>
              <w:pStyle w:val="6"/>
              <w:tabs>
                <w:tab w:val="center" w:pos="417"/>
              </w:tabs>
              <w:spacing w:before="0" w:beforeAutospacing="0" w:after="0" w:afterAutospacing="0" w:line="360" w:lineRule="auto"/>
              <w:jc w:val="center"/>
              <w:rPr>
                <w:rStyle w:val="10"/>
                <w:b w:val="0"/>
                <w:sz w:val="21"/>
                <w:szCs w:val="21"/>
              </w:rPr>
            </w:pPr>
            <w:r>
              <w:rPr>
                <w:rStyle w:val="10"/>
                <w:rFonts w:hint="eastAsia"/>
                <w:b w:val="0"/>
                <w:sz w:val="21"/>
                <w:szCs w:val="21"/>
              </w:rPr>
              <w:t>32</w:t>
            </w:r>
          </w:p>
        </w:tc>
        <w:tc>
          <w:tcPr>
            <w:tcW w:w="144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4</w:t>
            </w:r>
          </w:p>
        </w:tc>
        <w:tc>
          <w:tcPr>
            <w:tcW w:w="126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9</w:t>
            </w:r>
          </w:p>
        </w:tc>
        <w:tc>
          <w:tcPr>
            <w:tcW w:w="126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2</w:t>
            </w:r>
          </w:p>
        </w:tc>
        <w:tc>
          <w:tcPr>
            <w:tcW w:w="144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5</w:t>
            </w:r>
          </w:p>
        </w:tc>
        <w:tc>
          <w:tcPr>
            <w:tcW w:w="1321"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52</w:t>
            </w:r>
          </w:p>
        </w:tc>
      </w:tr>
      <w:tr>
        <w:tblPrEx>
          <w:tblCellMar>
            <w:top w:w="0" w:type="dxa"/>
            <w:left w:w="108" w:type="dxa"/>
            <w:bottom w:w="0" w:type="dxa"/>
            <w:right w:w="108" w:type="dxa"/>
          </w:tblCellMar>
        </w:tblPrEx>
        <w:trPr>
          <w:jc w:val="center"/>
        </w:trPr>
        <w:tc>
          <w:tcPr>
            <w:tcW w:w="1293"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四</w:t>
            </w:r>
          </w:p>
        </w:tc>
        <w:tc>
          <w:tcPr>
            <w:tcW w:w="1264" w:type="dxa"/>
          </w:tcPr>
          <w:p>
            <w:pPr>
              <w:pStyle w:val="6"/>
              <w:spacing w:before="0" w:beforeAutospacing="0" w:after="0" w:afterAutospacing="0" w:line="360" w:lineRule="auto"/>
              <w:jc w:val="center"/>
              <w:rPr>
                <w:rStyle w:val="10"/>
                <w:b w:val="0"/>
                <w:sz w:val="21"/>
                <w:szCs w:val="21"/>
              </w:rPr>
            </w:pPr>
          </w:p>
        </w:tc>
        <w:tc>
          <w:tcPr>
            <w:tcW w:w="1440" w:type="dxa"/>
          </w:tcPr>
          <w:p>
            <w:pPr>
              <w:pStyle w:val="6"/>
              <w:spacing w:before="0" w:beforeAutospacing="0" w:after="0" w:afterAutospacing="0" w:line="360" w:lineRule="auto"/>
              <w:jc w:val="center"/>
              <w:rPr>
                <w:rStyle w:val="10"/>
                <w:b w:val="0"/>
                <w:sz w:val="21"/>
                <w:szCs w:val="21"/>
              </w:rPr>
            </w:pPr>
          </w:p>
        </w:tc>
        <w:tc>
          <w:tcPr>
            <w:tcW w:w="126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39</w:t>
            </w:r>
          </w:p>
        </w:tc>
        <w:tc>
          <w:tcPr>
            <w:tcW w:w="1260"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3</w:t>
            </w:r>
          </w:p>
        </w:tc>
        <w:tc>
          <w:tcPr>
            <w:tcW w:w="1440" w:type="dxa"/>
          </w:tcPr>
          <w:p>
            <w:pPr>
              <w:pStyle w:val="6"/>
              <w:spacing w:before="0" w:beforeAutospacing="0" w:after="0" w:afterAutospacing="0" w:line="360" w:lineRule="auto"/>
              <w:jc w:val="center"/>
              <w:rPr>
                <w:rStyle w:val="10"/>
                <w:b w:val="0"/>
                <w:sz w:val="21"/>
                <w:szCs w:val="21"/>
              </w:rPr>
            </w:pPr>
          </w:p>
        </w:tc>
        <w:tc>
          <w:tcPr>
            <w:tcW w:w="1321" w:type="dxa"/>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42</w:t>
            </w:r>
          </w:p>
        </w:tc>
      </w:tr>
      <w:tr>
        <w:tblPrEx>
          <w:tblCellMar>
            <w:top w:w="0" w:type="dxa"/>
            <w:left w:w="108" w:type="dxa"/>
            <w:bottom w:w="0" w:type="dxa"/>
            <w:right w:w="108" w:type="dxa"/>
          </w:tblCellMar>
        </w:tblPrEx>
        <w:trPr>
          <w:jc w:val="center"/>
        </w:trPr>
        <w:tc>
          <w:tcPr>
            <w:tcW w:w="1293" w:type="dxa"/>
            <w:tcBorders>
              <w:bottom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合计</w:t>
            </w:r>
          </w:p>
        </w:tc>
        <w:tc>
          <w:tcPr>
            <w:tcW w:w="1264" w:type="dxa"/>
            <w:tcBorders>
              <w:bottom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95</w:t>
            </w:r>
          </w:p>
        </w:tc>
        <w:tc>
          <w:tcPr>
            <w:tcW w:w="1440" w:type="dxa"/>
            <w:tcBorders>
              <w:bottom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12</w:t>
            </w:r>
          </w:p>
        </w:tc>
        <w:tc>
          <w:tcPr>
            <w:tcW w:w="1260" w:type="dxa"/>
            <w:tcBorders>
              <w:bottom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48</w:t>
            </w:r>
          </w:p>
        </w:tc>
        <w:tc>
          <w:tcPr>
            <w:tcW w:w="1260" w:type="dxa"/>
            <w:tcBorders>
              <w:bottom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10</w:t>
            </w:r>
          </w:p>
        </w:tc>
        <w:tc>
          <w:tcPr>
            <w:tcW w:w="1440" w:type="dxa"/>
            <w:tcBorders>
              <w:bottom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33</w:t>
            </w:r>
          </w:p>
        </w:tc>
        <w:tc>
          <w:tcPr>
            <w:tcW w:w="1321" w:type="dxa"/>
            <w:tcBorders>
              <w:bottom w:val="single" w:color="auto" w:sz="4" w:space="0"/>
            </w:tcBorders>
          </w:tcPr>
          <w:p>
            <w:pPr>
              <w:pStyle w:val="6"/>
              <w:spacing w:before="0" w:beforeAutospacing="0" w:after="0" w:afterAutospacing="0" w:line="360" w:lineRule="auto"/>
              <w:jc w:val="center"/>
              <w:rPr>
                <w:rStyle w:val="10"/>
                <w:b w:val="0"/>
                <w:sz w:val="21"/>
                <w:szCs w:val="21"/>
              </w:rPr>
            </w:pPr>
            <w:r>
              <w:rPr>
                <w:rStyle w:val="10"/>
                <w:rFonts w:hint="eastAsia"/>
                <w:b w:val="0"/>
                <w:sz w:val="21"/>
                <w:szCs w:val="21"/>
              </w:rPr>
              <w:t>198</w:t>
            </w:r>
          </w:p>
        </w:tc>
      </w:tr>
    </w:tbl>
    <w:p>
      <w:pPr>
        <w:widowControl/>
        <w:spacing w:line="360" w:lineRule="auto"/>
        <w:ind w:firstLine="420" w:firstLineChars="200"/>
        <w:jc w:val="left"/>
        <w:rPr>
          <w:rFonts w:ascii="宋体" w:hAnsi="宋体" w:eastAsia="宋体"/>
          <w:snapToGrid/>
          <w:kern w:val="0"/>
          <w:sz w:val="21"/>
          <w:szCs w:val="21"/>
        </w:rPr>
      </w:pPr>
      <w:r>
        <w:rPr>
          <w:rFonts w:hint="eastAsia" w:ascii="宋体" w:hAnsi="宋体" w:eastAsia="宋体"/>
          <w:snapToGrid/>
          <w:kern w:val="0"/>
          <w:sz w:val="21"/>
          <w:szCs w:val="21"/>
        </w:rPr>
        <w:t>※社会实践2周，安排在假期中进行，由校团委作统一部署，机动含军训、社会实践、毕业考试等其他环节。</w:t>
      </w:r>
    </w:p>
    <w:p>
      <w:pPr>
        <w:pStyle w:val="6"/>
        <w:spacing w:before="0" w:beforeAutospacing="0" w:after="0" w:afterAutospacing="0" w:line="360" w:lineRule="auto"/>
        <w:jc w:val="both"/>
        <w:rPr>
          <w:rStyle w:val="10"/>
        </w:rPr>
      </w:pPr>
      <w:r>
        <w:rPr>
          <w:rStyle w:val="10"/>
          <w:rFonts w:hint="eastAsia"/>
        </w:rPr>
        <w:t>七</w:t>
      </w:r>
      <w:r>
        <w:rPr>
          <w:rStyle w:val="10"/>
        </w:rPr>
        <w:t>、毕业与学位</w:t>
      </w:r>
    </w:p>
    <w:p>
      <w:pPr>
        <w:pStyle w:val="6"/>
        <w:spacing w:before="0" w:beforeAutospacing="0" w:after="0" w:afterAutospacing="0" w:line="360" w:lineRule="auto"/>
        <w:ind w:firstLine="480" w:firstLineChars="200"/>
        <w:rPr>
          <w:rStyle w:val="10"/>
          <w:b w:val="0"/>
        </w:rPr>
      </w:pPr>
      <w:bookmarkStart w:id="0" w:name="_Hlk486950813"/>
      <w:r>
        <w:rPr>
          <w:rFonts w:hint="eastAsia"/>
          <w:bCs/>
        </w:rPr>
        <w:t>学生</w:t>
      </w:r>
      <w:r>
        <w:rPr>
          <w:bCs/>
        </w:rPr>
        <w:t>达到以下条件之一的，可毕业并</w:t>
      </w:r>
      <w:r>
        <w:rPr>
          <w:rFonts w:hint="eastAsia"/>
          <w:bCs/>
        </w:rPr>
        <w:t>授予学位。</w:t>
      </w:r>
    </w:p>
    <w:p>
      <w:pPr>
        <w:pStyle w:val="6"/>
        <w:spacing w:before="0" w:beforeAutospacing="0" w:after="0" w:afterAutospacing="0" w:line="360" w:lineRule="auto"/>
        <w:ind w:firstLine="480" w:firstLineChars="200"/>
        <w:jc w:val="both"/>
        <w:rPr>
          <w:rFonts w:cs="宋体"/>
        </w:rPr>
      </w:pPr>
      <w:r>
        <w:rPr>
          <w:rStyle w:val="10"/>
          <w:rFonts w:hint="eastAsia"/>
          <w:b w:val="0"/>
        </w:rPr>
        <w:t>（</w:t>
      </w:r>
      <w:r>
        <w:rPr>
          <w:rStyle w:val="10"/>
          <w:b w:val="0"/>
        </w:rPr>
        <w:t>一）</w:t>
      </w:r>
      <w:bookmarkEnd w:id="0"/>
      <w:r>
        <w:rPr>
          <w:rFonts w:hint="eastAsia"/>
          <w:highlight w:val="yellow"/>
        </w:rPr>
        <w:t>在学校规定修业年限内修完全部必修课程，成绩合格，</w:t>
      </w:r>
      <w:bookmarkStart w:id="1" w:name="_Hlk486950567"/>
      <w:bookmarkStart w:id="2" w:name="_Hlk486951938"/>
      <w:r>
        <w:rPr>
          <w:rFonts w:hint="eastAsia"/>
          <w:bCs/>
          <w:highlight w:val="yellow"/>
        </w:rPr>
        <w:t>限选课程修满</w:t>
      </w:r>
      <w:r>
        <w:rPr>
          <w:rFonts w:hint="eastAsia"/>
          <w:bCs/>
          <w:highlight w:val="yellow"/>
          <w:lang w:val="en-US" w:eastAsia="zh-CN"/>
        </w:rPr>
        <w:t>19</w:t>
      </w:r>
      <w:r>
        <w:rPr>
          <w:rFonts w:hint="eastAsia"/>
          <w:bCs/>
          <w:highlight w:val="yellow"/>
        </w:rPr>
        <w:t>学分</w:t>
      </w:r>
      <w:bookmarkEnd w:id="1"/>
      <w:r>
        <w:rPr>
          <w:rFonts w:hint="eastAsia"/>
          <w:bCs/>
          <w:highlight w:val="yellow"/>
        </w:rPr>
        <w:t>，</w:t>
      </w:r>
      <w:bookmarkEnd w:id="2"/>
      <w:r>
        <w:rPr>
          <w:rFonts w:hint="eastAsia"/>
          <w:highlight w:val="yellow"/>
        </w:rPr>
        <w:t>任选课修满</w:t>
      </w:r>
      <w:r>
        <w:rPr>
          <w:highlight w:val="yellow"/>
        </w:rPr>
        <w:t>15</w:t>
      </w:r>
      <w:r>
        <w:rPr>
          <w:rFonts w:hint="eastAsia"/>
          <w:highlight w:val="yellow"/>
        </w:rPr>
        <w:t>学分，通过毕业实习和社会实践</w:t>
      </w:r>
      <w:r>
        <w:rPr>
          <w:rFonts w:hint="eastAsia"/>
          <w:bCs/>
          <w:highlight w:val="yellow"/>
        </w:rPr>
        <w:t>，按照学校管理办法完成毕业论文（设计），</w:t>
      </w:r>
      <w:r>
        <w:rPr>
          <w:rFonts w:hint="eastAsia"/>
          <w:highlight w:val="yellow"/>
        </w:rPr>
        <w:t>总学分达</w:t>
      </w:r>
      <w:r>
        <w:rPr>
          <w:rFonts w:hint="eastAsia"/>
          <w:highlight w:val="yellow"/>
          <w:lang w:val="en-US" w:eastAsia="zh-CN"/>
        </w:rPr>
        <w:t>180</w:t>
      </w:r>
      <w:r>
        <w:rPr>
          <w:rFonts w:hint="eastAsia"/>
          <w:highlight w:val="yellow"/>
        </w:rPr>
        <w:t>学分及以上，符合《广西医科大学授予学士学位工作细则》学士学位条件的授予</w:t>
      </w:r>
      <w:r>
        <w:rPr>
          <w:rFonts w:hint="eastAsia" w:cs="宋体"/>
          <w:highlight w:val="yellow"/>
        </w:rPr>
        <w:t>理学学士学位。</w:t>
      </w:r>
    </w:p>
    <w:p>
      <w:pPr>
        <w:pStyle w:val="6"/>
        <w:widowControl w:val="0"/>
        <w:spacing w:before="0" w:beforeAutospacing="0" w:after="0" w:afterAutospacing="0" w:line="360" w:lineRule="auto"/>
        <w:ind w:firstLine="360" w:firstLineChars="150"/>
        <w:rPr>
          <w:bCs/>
        </w:rPr>
      </w:pPr>
      <w:bookmarkStart w:id="3" w:name="_Hlk486950588"/>
      <w:r>
        <w:rPr>
          <w:rFonts w:hint="eastAsia"/>
        </w:rPr>
        <w:t>（二）</w:t>
      </w:r>
      <w:r>
        <w:rPr>
          <w:rFonts w:hint="eastAsia"/>
          <w:bCs/>
        </w:rPr>
        <w:t>在学校</w:t>
      </w:r>
      <w:r>
        <w:rPr>
          <w:bCs/>
        </w:rPr>
        <w:t>规定的修</w:t>
      </w:r>
      <w:r>
        <w:rPr>
          <w:rFonts w:hint="eastAsia"/>
          <w:bCs/>
        </w:rPr>
        <w:t>业</w:t>
      </w:r>
      <w:r>
        <w:rPr>
          <w:bCs/>
        </w:rPr>
        <w:t>年限内</w:t>
      </w:r>
      <w:r>
        <w:rPr>
          <w:rFonts w:hint="eastAsia"/>
          <w:bCs/>
        </w:rPr>
        <w:t>，完成</w:t>
      </w:r>
      <w:r>
        <w:rPr>
          <w:bCs/>
        </w:rPr>
        <w:t>“</w:t>
      </w:r>
      <w:r>
        <w:rPr>
          <w:rFonts w:hint="eastAsia"/>
        </w:rPr>
        <w:t>3</w:t>
      </w:r>
      <w:r>
        <w:t>+</w:t>
      </w:r>
      <w:r>
        <w:rPr>
          <w:bCs/>
        </w:rPr>
        <w:t>创新创业”</w:t>
      </w:r>
      <w:r>
        <w:rPr>
          <w:rFonts w:hint="eastAsia"/>
          <w:bCs/>
        </w:rPr>
        <w:t>项目的合格</w:t>
      </w:r>
      <w:r>
        <w:rPr>
          <w:bCs/>
        </w:rPr>
        <w:t>者</w:t>
      </w:r>
      <w:r>
        <w:rPr>
          <w:rFonts w:hint="eastAsia"/>
          <w:bCs/>
        </w:rPr>
        <w:t>。即入校</w:t>
      </w:r>
      <w:r>
        <w:rPr>
          <w:bCs/>
        </w:rPr>
        <w:t>后</w:t>
      </w:r>
      <w:r>
        <w:rPr>
          <w:rFonts w:hint="eastAsia"/>
          <w:bCs/>
        </w:rPr>
        <w:t>完成3年课程的学习、</w:t>
      </w:r>
      <w:r>
        <w:rPr>
          <w:bCs/>
        </w:rPr>
        <w:t>成绩合格</w:t>
      </w:r>
      <w:r>
        <w:rPr>
          <w:rFonts w:hint="eastAsia"/>
          <w:bCs/>
        </w:rPr>
        <w:t>；随后进行与</w:t>
      </w:r>
      <w:r>
        <w:rPr>
          <w:bCs/>
        </w:rPr>
        <w:t>专业相关的创新创业</w:t>
      </w:r>
      <w:r>
        <w:rPr>
          <w:rFonts w:hint="eastAsia"/>
          <w:bCs/>
        </w:rPr>
        <w:t>且其</w:t>
      </w:r>
      <w:r>
        <w:rPr>
          <w:bCs/>
        </w:rPr>
        <w:t>成绩特别突出</w:t>
      </w:r>
      <w:r>
        <w:rPr>
          <w:rFonts w:hint="eastAsia"/>
          <w:bCs/>
        </w:rPr>
        <w:t>的、</w:t>
      </w:r>
      <w:r>
        <w:rPr>
          <w:bCs/>
        </w:rPr>
        <w:t>经二级学院</w:t>
      </w:r>
      <w:r>
        <w:rPr>
          <w:rFonts w:hint="eastAsia"/>
          <w:bCs/>
        </w:rPr>
        <w:t>教学</w:t>
      </w:r>
      <w:r>
        <w:rPr>
          <w:bCs/>
        </w:rPr>
        <w:t>委员会</w:t>
      </w:r>
      <w:r>
        <w:rPr>
          <w:rFonts w:hint="eastAsia"/>
          <w:bCs/>
        </w:rPr>
        <w:t>认定</w:t>
      </w:r>
      <w:r>
        <w:rPr>
          <w:bCs/>
        </w:rPr>
        <w:t>，上报学校</w:t>
      </w:r>
      <w:r>
        <w:rPr>
          <w:rFonts w:hint="eastAsia"/>
          <w:bCs/>
        </w:rPr>
        <w:t>教学</w:t>
      </w:r>
      <w:r>
        <w:rPr>
          <w:bCs/>
        </w:rPr>
        <w:t>委员</w:t>
      </w:r>
      <w:r>
        <w:rPr>
          <w:rFonts w:hint="eastAsia"/>
          <w:bCs/>
        </w:rPr>
        <w:t>会复核批准，准予毕业并授予学士学位。</w:t>
      </w:r>
    </w:p>
    <w:bookmarkEnd w:id="3"/>
    <w:p>
      <w:pPr>
        <w:pStyle w:val="6"/>
        <w:spacing w:before="0" w:beforeAutospacing="0" w:after="0" w:afterAutospacing="0" w:line="360" w:lineRule="auto"/>
        <w:jc w:val="both"/>
        <w:rPr>
          <w:b/>
        </w:rPr>
      </w:pPr>
      <w:r>
        <w:rPr>
          <w:rFonts w:hint="eastAsia"/>
          <w:b/>
        </w:rPr>
        <w:t>八</w:t>
      </w:r>
      <w:r>
        <w:rPr>
          <w:b/>
        </w:rPr>
        <w:t>、毕业去向</w:t>
      </w:r>
      <w:r>
        <w:rPr>
          <w:b/>
        </w:rPr>
        <w:tab/>
      </w:r>
    </w:p>
    <w:p>
      <w:pPr>
        <w:pStyle w:val="6"/>
        <w:spacing w:before="0" w:beforeAutospacing="0" w:after="0" w:afterAutospacing="0" w:line="360" w:lineRule="auto"/>
        <w:ind w:firstLine="480" w:firstLineChars="200"/>
        <w:jc w:val="both"/>
      </w:pPr>
      <w:r>
        <w:rPr>
          <w:rFonts w:hint="eastAsia"/>
        </w:rPr>
        <w:t>四年制生物技术专业的毕业生具有较扎实的医学基础知识与生物技术专业理论和技能，较强的实践能力，可在高等医学院校或科研机构从事教学或科研工作，在医疗、制药、食品等生物高新技术领域从事开发应用、生产和管理等工作。也可继续深造，攻读生物科学或医学等相关专业的研究生。</w:t>
      </w:r>
    </w:p>
    <w:p>
      <w:pPr>
        <w:pStyle w:val="6"/>
        <w:spacing w:before="0" w:beforeAutospacing="0" w:after="0" w:afterAutospacing="0" w:line="360" w:lineRule="auto"/>
        <w:jc w:val="both"/>
        <w:rPr>
          <w:b/>
        </w:rPr>
      </w:pPr>
      <w:r>
        <w:rPr>
          <w:rFonts w:hint="eastAsia"/>
          <w:b/>
        </w:rPr>
        <w:t>九</w:t>
      </w:r>
      <w:r>
        <w:rPr>
          <w:b/>
        </w:rPr>
        <w:t>、教学进程</w:t>
      </w:r>
    </w:p>
    <w:p>
      <w:pPr>
        <w:pStyle w:val="6"/>
        <w:spacing w:before="0" w:beforeAutospacing="0" w:after="0" w:afterAutospacing="0"/>
        <w:ind w:firstLine="480" w:firstLineChars="200"/>
        <w:jc w:val="right"/>
      </w:pPr>
    </w:p>
    <w:sectPr>
      <w:footerReference r:id="rId3" w:type="default"/>
      <w:footerReference r:id="rId4" w:type="even"/>
      <w:pgSz w:w="11906" w:h="16838"/>
      <w:pgMar w:top="1440"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iNzE0ZDQwNDUyMmVjZDBmYWJmOTZiMGIzNThkZDEifQ=="/>
  </w:docVars>
  <w:rsids>
    <w:rsidRoot w:val="00311FB7"/>
    <w:rsid w:val="000003C4"/>
    <w:rsid w:val="0000095B"/>
    <w:rsid w:val="00001F16"/>
    <w:rsid w:val="00005ED1"/>
    <w:rsid w:val="0001112C"/>
    <w:rsid w:val="00011E07"/>
    <w:rsid w:val="00024BBF"/>
    <w:rsid w:val="000307A7"/>
    <w:rsid w:val="0003086D"/>
    <w:rsid w:val="000361A2"/>
    <w:rsid w:val="00041988"/>
    <w:rsid w:val="000422C3"/>
    <w:rsid w:val="00042BB3"/>
    <w:rsid w:val="0004427D"/>
    <w:rsid w:val="00045451"/>
    <w:rsid w:val="000519A1"/>
    <w:rsid w:val="00051E34"/>
    <w:rsid w:val="000548D8"/>
    <w:rsid w:val="0006065E"/>
    <w:rsid w:val="00061432"/>
    <w:rsid w:val="0006519D"/>
    <w:rsid w:val="000668EE"/>
    <w:rsid w:val="000715D3"/>
    <w:rsid w:val="00073760"/>
    <w:rsid w:val="00074DA3"/>
    <w:rsid w:val="00077765"/>
    <w:rsid w:val="00083E2A"/>
    <w:rsid w:val="00084DEF"/>
    <w:rsid w:val="00087248"/>
    <w:rsid w:val="000923E8"/>
    <w:rsid w:val="00094854"/>
    <w:rsid w:val="000972DF"/>
    <w:rsid w:val="000A7A68"/>
    <w:rsid w:val="000A7FB5"/>
    <w:rsid w:val="000B4FC7"/>
    <w:rsid w:val="000B7995"/>
    <w:rsid w:val="000C54EF"/>
    <w:rsid w:val="000C5B20"/>
    <w:rsid w:val="000D24FF"/>
    <w:rsid w:val="000D29D7"/>
    <w:rsid w:val="000D5752"/>
    <w:rsid w:val="000E21F4"/>
    <w:rsid w:val="000E2BC6"/>
    <w:rsid w:val="000E314C"/>
    <w:rsid w:val="000E3C44"/>
    <w:rsid w:val="000E5F52"/>
    <w:rsid w:val="000F1CE6"/>
    <w:rsid w:val="000F5959"/>
    <w:rsid w:val="0010135F"/>
    <w:rsid w:val="00101B1D"/>
    <w:rsid w:val="00103B5D"/>
    <w:rsid w:val="00106E32"/>
    <w:rsid w:val="00110E01"/>
    <w:rsid w:val="0011551E"/>
    <w:rsid w:val="00121473"/>
    <w:rsid w:val="001316AB"/>
    <w:rsid w:val="0013468E"/>
    <w:rsid w:val="00136EBC"/>
    <w:rsid w:val="00140BD4"/>
    <w:rsid w:val="00163A6B"/>
    <w:rsid w:val="0016748C"/>
    <w:rsid w:val="00167F44"/>
    <w:rsid w:val="00170A96"/>
    <w:rsid w:val="00175368"/>
    <w:rsid w:val="00181006"/>
    <w:rsid w:val="0018172A"/>
    <w:rsid w:val="00185DDD"/>
    <w:rsid w:val="001870AA"/>
    <w:rsid w:val="00187BFF"/>
    <w:rsid w:val="001934F8"/>
    <w:rsid w:val="00197871"/>
    <w:rsid w:val="001A2DDD"/>
    <w:rsid w:val="001A3265"/>
    <w:rsid w:val="001A46E3"/>
    <w:rsid w:val="001A7130"/>
    <w:rsid w:val="001B44BD"/>
    <w:rsid w:val="001B468C"/>
    <w:rsid w:val="001C2919"/>
    <w:rsid w:val="001C3BBD"/>
    <w:rsid w:val="001C578F"/>
    <w:rsid w:val="001C5B82"/>
    <w:rsid w:val="001D07C8"/>
    <w:rsid w:val="001D1585"/>
    <w:rsid w:val="001D1736"/>
    <w:rsid w:val="001D3652"/>
    <w:rsid w:val="001D7963"/>
    <w:rsid w:val="001E040A"/>
    <w:rsid w:val="001E079B"/>
    <w:rsid w:val="001E176F"/>
    <w:rsid w:val="001E37B1"/>
    <w:rsid w:val="001F5AA8"/>
    <w:rsid w:val="0020399D"/>
    <w:rsid w:val="00206785"/>
    <w:rsid w:val="00207757"/>
    <w:rsid w:val="00213691"/>
    <w:rsid w:val="002173C0"/>
    <w:rsid w:val="00220BB2"/>
    <w:rsid w:val="00224B12"/>
    <w:rsid w:val="00225C42"/>
    <w:rsid w:val="00230712"/>
    <w:rsid w:val="0023623B"/>
    <w:rsid w:val="0025273C"/>
    <w:rsid w:val="002545A9"/>
    <w:rsid w:val="0026151D"/>
    <w:rsid w:val="00265E3B"/>
    <w:rsid w:val="00273C94"/>
    <w:rsid w:val="00274DBA"/>
    <w:rsid w:val="00275AE3"/>
    <w:rsid w:val="0028118E"/>
    <w:rsid w:val="00290C1E"/>
    <w:rsid w:val="00295674"/>
    <w:rsid w:val="002A2DD3"/>
    <w:rsid w:val="002A45B9"/>
    <w:rsid w:val="002A7A93"/>
    <w:rsid w:val="002B1871"/>
    <w:rsid w:val="002B7CA3"/>
    <w:rsid w:val="002C0C44"/>
    <w:rsid w:val="002C3B18"/>
    <w:rsid w:val="002C46FD"/>
    <w:rsid w:val="002C5904"/>
    <w:rsid w:val="002D196D"/>
    <w:rsid w:val="002D55F3"/>
    <w:rsid w:val="002E36BE"/>
    <w:rsid w:val="002E643A"/>
    <w:rsid w:val="002F12C3"/>
    <w:rsid w:val="003008DC"/>
    <w:rsid w:val="003008E9"/>
    <w:rsid w:val="003043B5"/>
    <w:rsid w:val="00310634"/>
    <w:rsid w:val="00311FB7"/>
    <w:rsid w:val="00312453"/>
    <w:rsid w:val="00320364"/>
    <w:rsid w:val="00322270"/>
    <w:rsid w:val="00323641"/>
    <w:rsid w:val="003242F3"/>
    <w:rsid w:val="0033089B"/>
    <w:rsid w:val="00334248"/>
    <w:rsid w:val="003409FB"/>
    <w:rsid w:val="00341637"/>
    <w:rsid w:val="00356168"/>
    <w:rsid w:val="003669A8"/>
    <w:rsid w:val="00371133"/>
    <w:rsid w:val="003720D5"/>
    <w:rsid w:val="00372452"/>
    <w:rsid w:val="00391195"/>
    <w:rsid w:val="0039794A"/>
    <w:rsid w:val="003A3B37"/>
    <w:rsid w:val="003A4BCF"/>
    <w:rsid w:val="003C78DA"/>
    <w:rsid w:val="003E0884"/>
    <w:rsid w:val="0040547F"/>
    <w:rsid w:val="00405CE1"/>
    <w:rsid w:val="00417370"/>
    <w:rsid w:val="00422E1A"/>
    <w:rsid w:val="0043672C"/>
    <w:rsid w:val="004373B2"/>
    <w:rsid w:val="00443084"/>
    <w:rsid w:val="00444E34"/>
    <w:rsid w:val="0044671F"/>
    <w:rsid w:val="00447D82"/>
    <w:rsid w:val="004538FE"/>
    <w:rsid w:val="00453957"/>
    <w:rsid w:val="00455CF5"/>
    <w:rsid w:val="00460CC3"/>
    <w:rsid w:val="00462508"/>
    <w:rsid w:val="00464CAF"/>
    <w:rsid w:val="00466766"/>
    <w:rsid w:val="00467029"/>
    <w:rsid w:val="004773BD"/>
    <w:rsid w:val="004804F3"/>
    <w:rsid w:val="00483A53"/>
    <w:rsid w:val="00485BB1"/>
    <w:rsid w:val="00493C02"/>
    <w:rsid w:val="004A387A"/>
    <w:rsid w:val="004B4DD4"/>
    <w:rsid w:val="004B7165"/>
    <w:rsid w:val="004B78F7"/>
    <w:rsid w:val="004B7F6A"/>
    <w:rsid w:val="004B7FF6"/>
    <w:rsid w:val="004C4218"/>
    <w:rsid w:val="004C4E97"/>
    <w:rsid w:val="004C5C3D"/>
    <w:rsid w:val="004D08EC"/>
    <w:rsid w:val="004D5F1D"/>
    <w:rsid w:val="004D7507"/>
    <w:rsid w:val="004E2CDC"/>
    <w:rsid w:val="004E3FFE"/>
    <w:rsid w:val="004E6DF7"/>
    <w:rsid w:val="004F0F64"/>
    <w:rsid w:val="004F5EEE"/>
    <w:rsid w:val="004F6D93"/>
    <w:rsid w:val="00502758"/>
    <w:rsid w:val="00506856"/>
    <w:rsid w:val="00506C2C"/>
    <w:rsid w:val="005111CC"/>
    <w:rsid w:val="00511DA3"/>
    <w:rsid w:val="00513BDA"/>
    <w:rsid w:val="0051415A"/>
    <w:rsid w:val="00516398"/>
    <w:rsid w:val="00526372"/>
    <w:rsid w:val="005313BC"/>
    <w:rsid w:val="00534A02"/>
    <w:rsid w:val="00534A5A"/>
    <w:rsid w:val="00541F6B"/>
    <w:rsid w:val="00545BB5"/>
    <w:rsid w:val="005516BF"/>
    <w:rsid w:val="00551B33"/>
    <w:rsid w:val="005524D3"/>
    <w:rsid w:val="00554F6B"/>
    <w:rsid w:val="0055611F"/>
    <w:rsid w:val="0055765D"/>
    <w:rsid w:val="00562947"/>
    <w:rsid w:val="005644B2"/>
    <w:rsid w:val="00566058"/>
    <w:rsid w:val="005721BC"/>
    <w:rsid w:val="00573F2C"/>
    <w:rsid w:val="00581F4E"/>
    <w:rsid w:val="00582CB2"/>
    <w:rsid w:val="00587870"/>
    <w:rsid w:val="005914A9"/>
    <w:rsid w:val="00593AB5"/>
    <w:rsid w:val="00596A45"/>
    <w:rsid w:val="00597323"/>
    <w:rsid w:val="005A0530"/>
    <w:rsid w:val="005B32E6"/>
    <w:rsid w:val="005B3695"/>
    <w:rsid w:val="005B4819"/>
    <w:rsid w:val="005C43E2"/>
    <w:rsid w:val="005D03D8"/>
    <w:rsid w:val="005D46C9"/>
    <w:rsid w:val="005E0683"/>
    <w:rsid w:val="005E1070"/>
    <w:rsid w:val="005E29F4"/>
    <w:rsid w:val="005E5140"/>
    <w:rsid w:val="005F2110"/>
    <w:rsid w:val="005F62CA"/>
    <w:rsid w:val="0060284A"/>
    <w:rsid w:val="006103ED"/>
    <w:rsid w:val="00612DF8"/>
    <w:rsid w:val="00614FF3"/>
    <w:rsid w:val="006156B7"/>
    <w:rsid w:val="00623B1B"/>
    <w:rsid w:val="006242DF"/>
    <w:rsid w:val="0063009D"/>
    <w:rsid w:val="00635E28"/>
    <w:rsid w:val="00642157"/>
    <w:rsid w:val="0064701C"/>
    <w:rsid w:val="006574AF"/>
    <w:rsid w:val="006600C9"/>
    <w:rsid w:val="0066067C"/>
    <w:rsid w:val="006676B4"/>
    <w:rsid w:val="006716AE"/>
    <w:rsid w:val="00673F4A"/>
    <w:rsid w:val="006767CD"/>
    <w:rsid w:val="00680BD8"/>
    <w:rsid w:val="00691C28"/>
    <w:rsid w:val="006968EC"/>
    <w:rsid w:val="006A4111"/>
    <w:rsid w:val="006A6EFA"/>
    <w:rsid w:val="006D0760"/>
    <w:rsid w:val="006D436E"/>
    <w:rsid w:val="006E743B"/>
    <w:rsid w:val="006F2858"/>
    <w:rsid w:val="006F2ED3"/>
    <w:rsid w:val="006F341E"/>
    <w:rsid w:val="006F380E"/>
    <w:rsid w:val="006F66DF"/>
    <w:rsid w:val="0070405D"/>
    <w:rsid w:val="00704D9C"/>
    <w:rsid w:val="00705698"/>
    <w:rsid w:val="00707E52"/>
    <w:rsid w:val="00716C96"/>
    <w:rsid w:val="0071777E"/>
    <w:rsid w:val="00727CC7"/>
    <w:rsid w:val="00740ECC"/>
    <w:rsid w:val="00741422"/>
    <w:rsid w:val="00752C58"/>
    <w:rsid w:val="0075395A"/>
    <w:rsid w:val="00754C80"/>
    <w:rsid w:val="00755547"/>
    <w:rsid w:val="00760EC1"/>
    <w:rsid w:val="00761282"/>
    <w:rsid w:val="00761E45"/>
    <w:rsid w:val="007668D7"/>
    <w:rsid w:val="00771F8E"/>
    <w:rsid w:val="00780739"/>
    <w:rsid w:val="0079072B"/>
    <w:rsid w:val="0079250C"/>
    <w:rsid w:val="0079331E"/>
    <w:rsid w:val="00795B20"/>
    <w:rsid w:val="00795C4D"/>
    <w:rsid w:val="007A294C"/>
    <w:rsid w:val="007A4482"/>
    <w:rsid w:val="007B0667"/>
    <w:rsid w:val="007B1E55"/>
    <w:rsid w:val="007B515A"/>
    <w:rsid w:val="007B750F"/>
    <w:rsid w:val="007C74A8"/>
    <w:rsid w:val="007D4CB5"/>
    <w:rsid w:val="007D7363"/>
    <w:rsid w:val="007E1E67"/>
    <w:rsid w:val="007E7514"/>
    <w:rsid w:val="007F2F72"/>
    <w:rsid w:val="007F3C5A"/>
    <w:rsid w:val="00817C56"/>
    <w:rsid w:val="00821759"/>
    <w:rsid w:val="008230CD"/>
    <w:rsid w:val="0083277C"/>
    <w:rsid w:val="00837FE7"/>
    <w:rsid w:val="00847E01"/>
    <w:rsid w:val="00851CE8"/>
    <w:rsid w:val="0085202F"/>
    <w:rsid w:val="00852267"/>
    <w:rsid w:val="0085561E"/>
    <w:rsid w:val="0086313F"/>
    <w:rsid w:val="00867302"/>
    <w:rsid w:val="00870EBB"/>
    <w:rsid w:val="008826AB"/>
    <w:rsid w:val="00892DE5"/>
    <w:rsid w:val="008A58E3"/>
    <w:rsid w:val="008A66ED"/>
    <w:rsid w:val="008A7AF8"/>
    <w:rsid w:val="008B0184"/>
    <w:rsid w:val="008B2003"/>
    <w:rsid w:val="008C104F"/>
    <w:rsid w:val="008C18F1"/>
    <w:rsid w:val="008C4589"/>
    <w:rsid w:val="008C459E"/>
    <w:rsid w:val="008D6047"/>
    <w:rsid w:val="008E02D7"/>
    <w:rsid w:val="008F6E4B"/>
    <w:rsid w:val="008F7173"/>
    <w:rsid w:val="00905D5B"/>
    <w:rsid w:val="00907963"/>
    <w:rsid w:val="00907F3A"/>
    <w:rsid w:val="00917A45"/>
    <w:rsid w:val="00924C54"/>
    <w:rsid w:val="00930040"/>
    <w:rsid w:val="0093020B"/>
    <w:rsid w:val="00936852"/>
    <w:rsid w:val="00937A3B"/>
    <w:rsid w:val="00943445"/>
    <w:rsid w:val="00944C83"/>
    <w:rsid w:val="00946862"/>
    <w:rsid w:val="009510C0"/>
    <w:rsid w:val="00951526"/>
    <w:rsid w:val="0095583F"/>
    <w:rsid w:val="0096018B"/>
    <w:rsid w:val="0096237A"/>
    <w:rsid w:val="009634B1"/>
    <w:rsid w:val="00964BFC"/>
    <w:rsid w:val="009723AD"/>
    <w:rsid w:val="0097415A"/>
    <w:rsid w:val="009758E5"/>
    <w:rsid w:val="0098077B"/>
    <w:rsid w:val="0098708A"/>
    <w:rsid w:val="00987B79"/>
    <w:rsid w:val="00990FE8"/>
    <w:rsid w:val="00992D0C"/>
    <w:rsid w:val="009A066B"/>
    <w:rsid w:val="009B5ABD"/>
    <w:rsid w:val="009C0084"/>
    <w:rsid w:val="009C369F"/>
    <w:rsid w:val="009D1D71"/>
    <w:rsid w:val="009D45B8"/>
    <w:rsid w:val="009D6023"/>
    <w:rsid w:val="009E0EF0"/>
    <w:rsid w:val="009E1296"/>
    <w:rsid w:val="009E3DAA"/>
    <w:rsid w:val="009E48E2"/>
    <w:rsid w:val="009E6672"/>
    <w:rsid w:val="009F16AD"/>
    <w:rsid w:val="009F4658"/>
    <w:rsid w:val="00A00856"/>
    <w:rsid w:val="00A00C07"/>
    <w:rsid w:val="00A06669"/>
    <w:rsid w:val="00A079E2"/>
    <w:rsid w:val="00A07A51"/>
    <w:rsid w:val="00A12916"/>
    <w:rsid w:val="00A13A65"/>
    <w:rsid w:val="00A14820"/>
    <w:rsid w:val="00A149BE"/>
    <w:rsid w:val="00A16783"/>
    <w:rsid w:val="00A23CFB"/>
    <w:rsid w:val="00A279BB"/>
    <w:rsid w:val="00A373EA"/>
    <w:rsid w:val="00A426C0"/>
    <w:rsid w:val="00A43244"/>
    <w:rsid w:val="00A46891"/>
    <w:rsid w:val="00A46B48"/>
    <w:rsid w:val="00A51682"/>
    <w:rsid w:val="00A5236E"/>
    <w:rsid w:val="00A56E6D"/>
    <w:rsid w:val="00A6110F"/>
    <w:rsid w:val="00A61112"/>
    <w:rsid w:val="00A645A1"/>
    <w:rsid w:val="00A6606B"/>
    <w:rsid w:val="00A66512"/>
    <w:rsid w:val="00A70165"/>
    <w:rsid w:val="00A70BAD"/>
    <w:rsid w:val="00A72949"/>
    <w:rsid w:val="00A74ED7"/>
    <w:rsid w:val="00A75040"/>
    <w:rsid w:val="00A76139"/>
    <w:rsid w:val="00A7739F"/>
    <w:rsid w:val="00A800A4"/>
    <w:rsid w:val="00A91C5C"/>
    <w:rsid w:val="00A9286D"/>
    <w:rsid w:val="00AA0D76"/>
    <w:rsid w:val="00AA2E4D"/>
    <w:rsid w:val="00AA45F8"/>
    <w:rsid w:val="00AB0EE7"/>
    <w:rsid w:val="00AB205C"/>
    <w:rsid w:val="00AB24B1"/>
    <w:rsid w:val="00AC3FA8"/>
    <w:rsid w:val="00AD2AE2"/>
    <w:rsid w:val="00AD5862"/>
    <w:rsid w:val="00AE25F3"/>
    <w:rsid w:val="00AF47B2"/>
    <w:rsid w:val="00AF7C43"/>
    <w:rsid w:val="00B013FF"/>
    <w:rsid w:val="00B06DC4"/>
    <w:rsid w:val="00B07715"/>
    <w:rsid w:val="00B12DDE"/>
    <w:rsid w:val="00B13103"/>
    <w:rsid w:val="00B20E9C"/>
    <w:rsid w:val="00B214CB"/>
    <w:rsid w:val="00B2240E"/>
    <w:rsid w:val="00B22D02"/>
    <w:rsid w:val="00B24D66"/>
    <w:rsid w:val="00B30D1D"/>
    <w:rsid w:val="00B328EF"/>
    <w:rsid w:val="00B36944"/>
    <w:rsid w:val="00B425E4"/>
    <w:rsid w:val="00B42EEA"/>
    <w:rsid w:val="00B43E4F"/>
    <w:rsid w:val="00B5326D"/>
    <w:rsid w:val="00B54676"/>
    <w:rsid w:val="00B54984"/>
    <w:rsid w:val="00B55DF1"/>
    <w:rsid w:val="00B60ECC"/>
    <w:rsid w:val="00B70948"/>
    <w:rsid w:val="00B7357A"/>
    <w:rsid w:val="00B73C5C"/>
    <w:rsid w:val="00B76914"/>
    <w:rsid w:val="00B80EE4"/>
    <w:rsid w:val="00B8106E"/>
    <w:rsid w:val="00B82396"/>
    <w:rsid w:val="00B83898"/>
    <w:rsid w:val="00B83C51"/>
    <w:rsid w:val="00B87D18"/>
    <w:rsid w:val="00B91A13"/>
    <w:rsid w:val="00BA0148"/>
    <w:rsid w:val="00BB3E0E"/>
    <w:rsid w:val="00BB3E39"/>
    <w:rsid w:val="00BB4EA6"/>
    <w:rsid w:val="00BB5925"/>
    <w:rsid w:val="00BB64FD"/>
    <w:rsid w:val="00BB7561"/>
    <w:rsid w:val="00BC1BEA"/>
    <w:rsid w:val="00BD3A9A"/>
    <w:rsid w:val="00BE123B"/>
    <w:rsid w:val="00BF0C8E"/>
    <w:rsid w:val="00C02E7D"/>
    <w:rsid w:val="00C12BD2"/>
    <w:rsid w:val="00C139EB"/>
    <w:rsid w:val="00C14381"/>
    <w:rsid w:val="00C163C7"/>
    <w:rsid w:val="00C17A0A"/>
    <w:rsid w:val="00C200EC"/>
    <w:rsid w:val="00C23AB3"/>
    <w:rsid w:val="00C25604"/>
    <w:rsid w:val="00C434AD"/>
    <w:rsid w:val="00C44496"/>
    <w:rsid w:val="00C455C5"/>
    <w:rsid w:val="00C45A95"/>
    <w:rsid w:val="00C51243"/>
    <w:rsid w:val="00C52339"/>
    <w:rsid w:val="00C53004"/>
    <w:rsid w:val="00C568E0"/>
    <w:rsid w:val="00C57CDB"/>
    <w:rsid w:val="00C6022D"/>
    <w:rsid w:val="00C65E27"/>
    <w:rsid w:val="00C804BB"/>
    <w:rsid w:val="00C813D0"/>
    <w:rsid w:val="00C84CF1"/>
    <w:rsid w:val="00C87C1D"/>
    <w:rsid w:val="00C940DD"/>
    <w:rsid w:val="00C968AE"/>
    <w:rsid w:val="00C97476"/>
    <w:rsid w:val="00CA5394"/>
    <w:rsid w:val="00CB23AF"/>
    <w:rsid w:val="00CB43CB"/>
    <w:rsid w:val="00CC003B"/>
    <w:rsid w:val="00CC7393"/>
    <w:rsid w:val="00CD0AC1"/>
    <w:rsid w:val="00CD5868"/>
    <w:rsid w:val="00CE0AE3"/>
    <w:rsid w:val="00CE62EA"/>
    <w:rsid w:val="00CF620B"/>
    <w:rsid w:val="00CF7C37"/>
    <w:rsid w:val="00D00FC7"/>
    <w:rsid w:val="00D01B76"/>
    <w:rsid w:val="00D02F09"/>
    <w:rsid w:val="00D064BA"/>
    <w:rsid w:val="00D12FED"/>
    <w:rsid w:val="00D13580"/>
    <w:rsid w:val="00D14960"/>
    <w:rsid w:val="00D224F8"/>
    <w:rsid w:val="00D314D6"/>
    <w:rsid w:val="00D377D8"/>
    <w:rsid w:val="00D45D06"/>
    <w:rsid w:val="00D50C0A"/>
    <w:rsid w:val="00D51955"/>
    <w:rsid w:val="00D526B3"/>
    <w:rsid w:val="00D56943"/>
    <w:rsid w:val="00D627B8"/>
    <w:rsid w:val="00D64B08"/>
    <w:rsid w:val="00D65B85"/>
    <w:rsid w:val="00D72B28"/>
    <w:rsid w:val="00D731A0"/>
    <w:rsid w:val="00D75542"/>
    <w:rsid w:val="00D813D2"/>
    <w:rsid w:val="00D82B94"/>
    <w:rsid w:val="00D83936"/>
    <w:rsid w:val="00D85A13"/>
    <w:rsid w:val="00D904D6"/>
    <w:rsid w:val="00D930DF"/>
    <w:rsid w:val="00DA227D"/>
    <w:rsid w:val="00DA46FC"/>
    <w:rsid w:val="00DA6B3B"/>
    <w:rsid w:val="00DA7EEF"/>
    <w:rsid w:val="00DB3962"/>
    <w:rsid w:val="00DB456C"/>
    <w:rsid w:val="00DC0BAC"/>
    <w:rsid w:val="00DC0E27"/>
    <w:rsid w:val="00DC73C6"/>
    <w:rsid w:val="00DD065F"/>
    <w:rsid w:val="00DD2976"/>
    <w:rsid w:val="00DD5275"/>
    <w:rsid w:val="00DD7957"/>
    <w:rsid w:val="00DE58C8"/>
    <w:rsid w:val="00DE5D29"/>
    <w:rsid w:val="00DF1671"/>
    <w:rsid w:val="00DF4172"/>
    <w:rsid w:val="00E010BA"/>
    <w:rsid w:val="00E040AE"/>
    <w:rsid w:val="00E05F2A"/>
    <w:rsid w:val="00E14810"/>
    <w:rsid w:val="00E15578"/>
    <w:rsid w:val="00E15A31"/>
    <w:rsid w:val="00E17E80"/>
    <w:rsid w:val="00E20591"/>
    <w:rsid w:val="00E272DA"/>
    <w:rsid w:val="00E32484"/>
    <w:rsid w:val="00E336AF"/>
    <w:rsid w:val="00E3633A"/>
    <w:rsid w:val="00E370F8"/>
    <w:rsid w:val="00E4142A"/>
    <w:rsid w:val="00E418A9"/>
    <w:rsid w:val="00E43DD1"/>
    <w:rsid w:val="00E45BA7"/>
    <w:rsid w:val="00E473EB"/>
    <w:rsid w:val="00E52692"/>
    <w:rsid w:val="00E56ECB"/>
    <w:rsid w:val="00E57E23"/>
    <w:rsid w:val="00E716EC"/>
    <w:rsid w:val="00E849DE"/>
    <w:rsid w:val="00E85311"/>
    <w:rsid w:val="00E90085"/>
    <w:rsid w:val="00E91570"/>
    <w:rsid w:val="00EA7FAC"/>
    <w:rsid w:val="00EB52C8"/>
    <w:rsid w:val="00EB7BC6"/>
    <w:rsid w:val="00EC2675"/>
    <w:rsid w:val="00EC2963"/>
    <w:rsid w:val="00EC3447"/>
    <w:rsid w:val="00ED4BD3"/>
    <w:rsid w:val="00EE00D1"/>
    <w:rsid w:val="00EE1D5A"/>
    <w:rsid w:val="00EF01E7"/>
    <w:rsid w:val="00EF3D25"/>
    <w:rsid w:val="00EF4106"/>
    <w:rsid w:val="00EF6EDB"/>
    <w:rsid w:val="00F11ADE"/>
    <w:rsid w:val="00F14BF7"/>
    <w:rsid w:val="00F233E8"/>
    <w:rsid w:val="00F233FB"/>
    <w:rsid w:val="00F30219"/>
    <w:rsid w:val="00F31CEE"/>
    <w:rsid w:val="00F36467"/>
    <w:rsid w:val="00F40439"/>
    <w:rsid w:val="00F44C80"/>
    <w:rsid w:val="00F453E3"/>
    <w:rsid w:val="00F47575"/>
    <w:rsid w:val="00F5260C"/>
    <w:rsid w:val="00F56AA3"/>
    <w:rsid w:val="00F57544"/>
    <w:rsid w:val="00F603C5"/>
    <w:rsid w:val="00F61E33"/>
    <w:rsid w:val="00F63087"/>
    <w:rsid w:val="00F6341F"/>
    <w:rsid w:val="00F65F63"/>
    <w:rsid w:val="00F673CF"/>
    <w:rsid w:val="00F72574"/>
    <w:rsid w:val="00F8069E"/>
    <w:rsid w:val="00F92088"/>
    <w:rsid w:val="00F928DF"/>
    <w:rsid w:val="00FB2ADD"/>
    <w:rsid w:val="00FB4422"/>
    <w:rsid w:val="00FB6B00"/>
    <w:rsid w:val="00FB7CE6"/>
    <w:rsid w:val="00FC0C97"/>
    <w:rsid w:val="00FC3AEE"/>
    <w:rsid w:val="00FD5BF3"/>
    <w:rsid w:val="00FE2147"/>
    <w:rsid w:val="00FF6DAD"/>
    <w:rsid w:val="036D515C"/>
    <w:rsid w:val="04D33319"/>
    <w:rsid w:val="06044C67"/>
    <w:rsid w:val="09150170"/>
    <w:rsid w:val="0A0A3E41"/>
    <w:rsid w:val="0D945840"/>
    <w:rsid w:val="11960F58"/>
    <w:rsid w:val="17191BE1"/>
    <w:rsid w:val="190D362E"/>
    <w:rsid w:val="1DFE3DDC"/>
    <w:rsid w:val="28434076"/>
    <w:rsid w:val="320A1DC5"/>
    <w:rsid w:val="3CDA6004"/>
    <w:rsid w:val="4C667F17"/>
    <w:rsid w:val="4C8E4E81"/>
    <w:rsid w:val="50DC262F"/>
    <w:rsid w:val="58C57A8F"/>
    <w:rsid w:val="58CF4F13"/>
    <w:rsid w:val="5AE9785C"/>
    <w:rsid w:val="5D750518"/>
    <w:rsid w:val="6A2124C5"/>
    <w:rsid w:val="6AA01D00"/>
    <w:rsid w:val="6BC02DA3"/>
    <w:rsid w:val="6BE94B65"/>
    <w:rsid w:val="6D53159A"/>
    <w:rsid w:val="70B57B33"/>
    <w:rsid w:val="74D13952"/>
    <w:rsid w:val="75120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qFormat="1" w:unhideWhenUsed="0" w:uiPriority="0" w:semiHidden="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宋体"/>
      <w:snapToGrid w:val="0"/>
      <w:kern w:val="2"/>
      <w:sz w:val="32"/>
      <w:szCs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14"/>
    <w:qFormat/>
    <w:uiPriority w:val="0"/>
    <w:pPr>
      <w:spacing w:after="120" w:line="480" w:lineRule="auto"/>
      <w:ind w:left="420" w:leftChars="200"/>
    </w:pPr>
    <w:rPr>
      <w:rFonts w:ascii="Calibri" w:hAnsi="Calibri" w:eastAsia="宋体" w:cs="Times New Roman"/>
      <w:snapToGrid/>
      <w:sz w:val="24"/>
      <w:szCs w:val="24"/>
    </w:rPr>
  </w:style>
  <w:style w:type="paragraph" w:styleId="3">
    <w:name w:val="Balloon Text"/>
    <w:basedOn w:val="1"/>
    <w:link w:val="15"/>
    <w:qFormat/>
    <w:uiPriority w:val="0"/>
    <w:rPr>
      <w:rFonts w:cs="Times New Roman"/>
      <w:snapToGrid/>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Times New Roman"/>
      <w:snapToGrid/>
      <w:kern w:val="0"/>
      <w:sz w:val="24"/>
      <w:szCs w:val="24"/>
    </w:rPr>
  </w:style>
  <w:style w:type="table" w:styleId="8">
    <w:name w:val="Table Simple 1"/>
    <w:basedOn w:val="7"/>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character" w:styleId="10">
    <w:name w:val="Strong"/>
    <w:qFormat/>
    <w:uiPriority w:val="99"/>
    <w:rPr>
      <w:b/>
      <w:bCs/>
    </w:rPr>
  </w:style>
  <w:style w:type="character" w:styleId="11">
    <w:name w:val="page number"/>
    <w:basedOn w:val="9"/>
    <w:qFormat/>
    <w:uiPriority w:val="0"/>
  </w:style>
  <w:style w:type="character" w:styleId="12">
    <w:name w:val="Hyperlink"/>
    <w:qFormat/>
    <w:uiPriority w:val="0"/>
    <w:rPr>
      <w:color w:val="0000FF"/>
      <w:u w:val="single"/>
    </w:rPr>
  </w:style>
  <w:style w:type="character" w:customStyle="1" w:styleId="13">
    <w:name w:val="页眉 Char"/>
    <w:link w:val="5"/>
    <w:qFormat/>
    <w:uiPriority w:val="0"/>
    <w:rPr>
      <w:rFonts w:eastAsia="方正仿宋简体" w:cs="宋体"/>
      <w:snapToGrid w:val="0"/>
      <w:kern w:val="2"/>
      <w:sz w:val="18"/>
      <w:szCs w:val="18"/>
    </w:rPr>
  </w:style>
  <w:style w:type="character" w:customStyle="1" w:styleId="14">
    <w:name w:val="正文文本缩进 2 Char"/>
    <w:link w:val="2"/>
    <w:semiHidden/>
    <w:qFormat/>
    <w:locked/>
    <w:uiPriority w:val="0"/>
    <w:rPr>
      <w:rFonts w:ascii="Calibri" w:hAnsi="Calibri" w:eastAsia="宋体"/>
      <w:kern w:val="2"/>
      <w:sz w:val="24"/>
      <w:szCs w:val="24"/>
      <w:lang w:val="en-US" w:eastAsia="zh-CN" w:bidi="ar-SA"/>
    </w:rPr>
  </w:style>
  <w:style w:type="character" w:customStyle="1" w:styleId="15">
    <w:name w:val="批注框文本 Char"/>
    <w:link w:val="3"/>
    <w:qFormat/>
    <w:uiPriority w:val="0"/>
    <w:rPr>
      <w:rFonts w:eastAsia="方正仿宋简体" w:cs="宋体"/>
      <w:snapToGrid/>
      <w:kern w:val="2"/>
      <w:sz w:val="18"/>
      <w:szCs w:val="18"/>
    </w:rPr>
  </w:style>
  <w:style w:type="character" w:customStyle="1" w:styleId="16">
    <w:name w:val="正文文本缩进 2 字符"/>
    <w:qFormat/>
    <w:uiPriority w:val="99"/>
    <w:rPr>
      <w:rFonts w:ascii="Calibri" w:hAnsi="Calibri"/>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4</Pages>
  <Words>2622</Words>
  <Characters>2684</Characters>
  <Lines>19</Lines>
  <Paragraphs>5</Paragraphs>
  <TotalTime>59</TotalTime>
  <ScaleCrop>false</ScaleCrop>
  <LinksUpToDate>false</LinksUpToDate>
  <CharactersWithSpaces>2697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2019-04-25T08:01:00Z</dcterms:created>
  <dc:creator>wuyaosheng</dc:creator>
  <cp:lastModifiedBy>毛星宁</cp:lastModifiedBy>
  <cp:lastPrinted>2019-05-13T08:22:00Z</cp:lastPrinted>
  <dcterms:modified xsi:type="dcterms:W3CDTF">2022-11-29T00:54:52Z</dcterms:modified>
  <dc:title>广西医科大学2010年新增四年制本科</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AF06651720164791B0472C61BC35B742</vt:lpwstr>
  </property>
</Properties>
</file>