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before="11" w:line="281" w:lineRule="auto"/>
        <w:ind w:left="0"/>
        <w:rPr>
          <w:b/>
          <w:sz w:val="9"/>
        </w:rPr>
      </w:pPr>
    </w:p>
    <w:p>
      <w:pPr>
        <w:pStyle w:val="6"/>
        <w:spacing w:before="2" w:line="281" w:lineRule="auto"/>
        <w:ind w:left="0"/>
        <w:rPr>
          <w:sz w:val="10"/>
        </w:rPr>
      </w:pPr>
      <w:bookmarkStart w:id="0" w:name="_bookmark0"/>
      <w:bookmarkEnd w:id="0"/>
    </w:p>
    <w:p>
      <w:pPr>
        <w:pStyle w:val="3"/>
        <w:keepNext/>
        <w:keepLines/>
        <w:autoSpaceDE/>
        <w:autoSpaceDN/>
        <w:spacing w:before="100" w:beforeAutospacing="1" w:line="281" w:lineRule="auto"/>
        <w:ind w:left="0" w:right="0"/>
        <w:rPr>
          <w:rFonts w:ascii="Arial" w:hAnsi="Arial" w:eastAsia="黑体" w:cs="Times New Roman"/>
          <w:kern w:val="2"/>
          <w:sz w:val="32"/>
          <w:szCs w:val="32"/>
          <w:lang w:val="en-US" w:bidi="ar-SA"/>
        </w:rPr>
      </w:pPr>
      <w:bookmarkStart w:id="1" w:name="_bookmark1"/>
      <w:bookmarkEnd w:id="1"/>
      <w:r>
        <w:rPr>
          <w:rFonts w:hint="eastAsia" w:ascii="Arial" w:hAnsi="Arial" w:eastAsia="黑体" w:cs="Times New Roman"/>
          <w:kern w:val="2"/>
          <w:sz w:val="32"/>
          <w:szCs w:val="32"/>
          <w:lang w:val="en-US" w:bidi="ar-SA"/>
        </w:rPr>
        <w:t>临床医学专业（“5+3”一体化）人才培养方案</w:t>
      </w:r>
    </w:p>
    <w:p>
      <w:pPr>
        <w:rPr>
          <w:lang w:val="en-US"/>
        </w:rPr>
      </w:pPr>
    </w:p>
    <w:p>
      <w:pPr>
        <w:pStyle w:val="10"/>
        <w:autoSpaceDE/>
        <w:autoSpaceDN/>
        <w:spacing w:before="0" w:beforeAutospacing="0" w:after="0" w:afterAutospacing="0" w:line="281" w:lineRule="auto"/>
        <w:ind w:firstLine="482" w:firstLineChars="200"/>
        <w:rPr>
          <w:rStyle w:val="14"/>
          <w:rFonts w:ascii="Times New Roman" w:hAnsi="Times New Roman"/>
          <w:szCs w:val="24"/>
          <w:lang w:val="en-US" w:bidi="ar-SA"/>
        </w:rPr>
      </w:pPr>
      <w:r>
        <w:rPr>
          <w:rStyle w:val="14"/>
          <w:rFonts w:ascii="Times New Roman" w:hAnsi="Times New Roman"/>
          <w:szCs w:val="24"/>
          <w:lang w:val="en-US" w:bidi="ar-SA"/>
        </w:rPr>
        <w:t>一、培养目标</w:t>
      </w:r>
    </w:p>
    <w:p>
      <w:pPr>
        <w:pStyle w:val="6"/>
        <w:spacing w:before="0" w:line="281" w:lineRule="auto"/>
        <w:ind w:left="0" w:firstLine="420"/>
        <w:jc w:val="both"/>
        <w:rPr>
          <w:rFonts w:cs="Times New Roman"/>
          <w:kern w:val="2"/>
          <w:lang w:val="en-US" w:bidi="ar-SA"/>
        </w:rPr>
      </w:pPr>
      <w:r>
        <w:rPr>
          <w:rFonts w:hint="eastAsia" w:cs="Times New Roman"/>
          <w:kern w:val="2"/>
          <w:lang w:val="en-US" w:bidi="ar-SA"/>
        </w:rPr>
        <w:t>培养具有</w:t>
      </w:r>
      <w:r>
        <w:rPr>
          <w:rFonts w:hint="eastAsia"/>
          <w:lang w:val="en-US"/>
        </w:rPr>
        <w:t>正确世界观、人生观及价值观及</w:t>
      </w:r>
      <w:r>
        <w:rPr>
          <w:rFonts w:hint="eastAsia" w:cs="Times New Roman"/>
          <w:kern w:val="2"/>
          <w:lang w:val="en-US" w:bidi="ar-SA"/>
        </w:rPr>
        <w:t>人文素养和专业素质，掌握扎实的医学基础理论、基本知识和基本技能，宽厚的自然科学和人文社会科学知识，</w:t>
      </w:r>
      <w:r>
        <w:rPr>
          <w:rFonts w:hint="eastAsia"/>
          <w:lang w:val="en-US"/>
        </w:rPr>
        <w:t>敬佑生命，</w:t>
      </w:r>
      <w:r>
        <w:rPr>
          <w:rFonts w:hint="eastAsia" w:cs="Times New Roman"/>
          <w:kern w:val="2"/>
          <w:lang w:val="en-US" w:bidi="ar-SA"/>
        </w:rPr>
        <w:t>具备较强临床分析和实践能力，良好的表达能力与医患沟通能力，以及临床研究、教学能力，具备大健康理念、国际视野、创新精神及</w:t>
      </w:r>
      <w:r>
        <w:rPr>
          <w:rFonts w:hint="eastAsia"/>
        </w:rPr>
        <w:t>终身学习能力</w:t>
      </w:r>
      <w:r>
        <w:rPr>
          <w:rFonts w:hint="eastAsia" w:cs="Times New Roman"/>
          <w:kern w:val="2"/>
          <w:lang w:val="en-US" w:bidi="ar-SA"/>
        </w:rPr>
        <w:t>，能承担本学科领域内的常见病、多发病诊治工作的</w:t>
      </w:r>
      <w:r>
        <w:rPr>
          <w:rFonts w:hint="eastAsia"/>
        </w:rPr>
        <w:t>“</w:t>
      </w:r>
      <w:r>
        <w:rPr>
          <w:rFonts w:hint="eastAsia"/>
          <w:lang w:val="en-US"/>
        </w:rPr>
        <w:t>德智体美劳</w:t>
      </w:r>
      <w:r>
        <w:rPr>
          <w:rFonts w:hint="eastAsia"/>
        </w:rPr>
        <w:t>”</w:t>
      </w:r>
      <w:r>
        <w:rPr>
          <w:rFonts w:hint="eastAsia"/>
          <w:lang w:val="en-US"/>
        </w:rPr>
        <w:t>全面发展的合格的</w:t>
      </w:r>
      <w:r>
        <w:rPr>
          <w:rFonts w:hint="eastAsia"/>
        </w:rPr>
        <w:t>医学毕业生。</w:t>
      </w:r>
    </w:p>
    <w:p>
      <w:pPr>
        <w:pStyle w:val="10"/>
        <w:autoSpaceDE/>
        <w:autoSpaceDN/>
        <w:spacing w:before="0" w:beforeAutospacing="0" w:after="0" w:afterAutospacing="0" w:line="281" w:lineRule="auto"/>
        <w:ind w:firstLine="480" w:firstLineChars="200"/>
        <w:rPr>
          <w:rStyle w:val="14"/>
          <w:rFonts w:ascii="Times New Roman" w:hAnsi="Times New Roman" w:eastAsiaTheme="minorHAnsi"/>
          <w:szCs w:val="24"/>
          <w:lang w:val="en-US" w:bidi="ar-SA"/>
        </w:rPr>
      </w:pPr>
      <w:r>
        <w:rPr>
          <w:rStyle w:val="14"/>
          <w:rFonts w:hint="eastAsia" w:ascii="Times New Roman" w:hAnsi="Times New Roman" w:eastAsiaTheme="minorHAnsi"/>
          <w:szCs w:val="24"/>
          <w:lang w:val="en-US" w:bidi="ar-SA"/>
        </w:rPr>
        <w:t>二、培养要求</w:t>
      </w:r>
    </w:p>
    <w:p>
      <w:pPr>
        <w:autoSpaceDE/>
        <w:autoSpaceDN/>
        <w:spacing w:line="281" w:lineRule="auto"/>
        <w:ind w:firstLine="480" w:firstLineChars="200"/>
        <w:jc w:val="both"/>
        <w:rPr>
          <w:rFonts w:cs="Times New Roman"/>
          <w:kern w:val="2"/>
          <w:sz w:val="24"/>
          <w:szCs w:val="24"/>
          <w:lang w:val="en-US" w:bidi="ar-SA"/>
        </w:rPr>
      </w:pPr>
      <w:r>
        <w:rPr>
          <w:rFonts w:hint="eastAsia" w:cs="Times New Roman"/>
          <w:kern w:val="2"/>
          <w:sz w:val="24"/>
          <w:szCs w:val="24"/>
          <w:lang w:val="en-US" w:bidi="ar-SA"/>
        </w:rPr>
        <w:t>（一）科学和学术领域</w:t>
      </w:r>
    </w:p>
    <w:p>
      <w:pPr>
        <w:pStyle w:val="16"/>
        <w:numPr>
          <w:ilvl w:val="0"/>
          <w:numId w:val="1"/>
        </w:numPr>
        <w:tabs>
          <w:tab w:val="left" w:pos="840"/>
        </w:tabs>
        <w:spacing w:before="0" w:line="281" w:lineRule="auto"/>
        <w:ind w:left="860" w:hanging="420"/>
        <w:rPr>
          <w:sz w:val="24"/>
        </w:rPr>
      </w:pPr>
      <w:r>
        <w:rPr>
          <w:spacing w:val="3"/>
          <w:sz w:val="24"/>
        </w:rPr>
        <w:t>具备自然科学、人文社会科学、医学等学科的基础知识和掌握科学</w:t>
      </w:r>
      <w:r>
        <w:rPr>
          <w:rFonts w:hint="eastAsia"/>
          <w:sz w:val="24"/>
          <w:lang w:val="en-US"/>
        </w:rPr>
        <w:t>伦理及研究</w:t>
      </w:r>
      <w:r>
        <w:rPr>
          <w:spacing w:val="3"/>
          <w:sz w:val="24"/>
        </w:rPr>
        <w:t>方法，</w:t>
      </w:r>
      <w:r>
        <w:rPr>
          <w:rFonts w:hint="eastAsia"/>
          <w:sz w:val="24"/>
          <w:lang w:val="en-US"/>
        </w:rPr>
        <w:t>把握事物发展规律，</w:t>
      </w:r>
      <w:r>
        <w:rPr>
          <w:spacing w:val="3"/>
          <w:sz w:val="24"/>
        </w:rPr>
        <w:t>并能用于指导未来的学习和医学实践。</w:t>
      </w:r>
    </w:p>
    <w:p>
      <w:pPr>
        <w:pStyle w:val="16"/>
        <w:numPr>
          <w:ilvl w:val="0"/>
          <w:numId w:val="1"/>
        </w:numPr>
        <w:tabs>
          <w:tab w:val="left" w:pos="840"/>
        </w:tabs>
        <w:spacing w:before="0" w:line="281" w:lineRule="auto"/>
        <w:ind w:left="860" w:hanging="420"/>
        <w:rPr>
          <w:sz w:val="24"/>
        </w:rPr>
      </w:pPr>
      <w:r>
        <w:rPr>
          <w:sz w:val="24"/>
        </w:rPr>
        <w:t>能够</w:t>
      </w:r>
      <w:r>
        <w:rPr>
          <w:rFonts w:hint="eastAsia"/>
          <w:sz w:val="24"/>
          <w:lang w:val="en-US"/>
        </w:rPr>
        <w:t>始终把人民群众生命安全和健康放在首位，</w:t>
      </w:r>
      <w:r>
        <w:rPr>
          <w:sz w:val="24"/>
        </w:rPr>
        <w:t>应用医学等科学知识</w:t>
      </w:r>
      <w:r>
        <w:rPr>
          <w:rFonts w:hint="eastAsia"/>
          <w:sz w:val="24"/>
          <w:lang w:val="en-US"/>
        </w:rPr>
        <w:t>依法</w:t>
      </w:r>
      <w:r>
        <w:rPr>
          <w:sz w:val="24"/>
        </w:rPr>
        <w:t>处理个体、群体和卫生系统中的问题。</w:t>
      </w:r>
    </w:p>
    <w:p>
      <w:pPr>
        <w:pStyle w:val="16"/>
        <w:numPr>
          <w:ilvl w:val="0"/>
          <w:numId w:val="1"/>
        </w:numPr>
        <w:tabs>
          <w:tab w:val="left" w:pos="840"/>
        </w:tabs>
        <w:spacing w:line="281" w:lineRule="auto"/>
        <w:ind w:left="860" w:right="123" w:hanging="420"/>
        <w:rPr>
          <w:sz w:val="24"/>
        </w:rPr>
      </w:pPr>
      <w:r>
        <w:rPr>
          <w:spacing w:val="3"/>
          <w:sz w:val="24"/>
        </w:rPr>
        <w:t>能够描述生命各阶段疾病的病因、发病机制、自然病程、临床表现、诊断、治疗以及预后。</w:t>
      </w:r>
    </w:p>
    <w:p>
      <w:pPr>
        <w:pStyle w:val="16"/>
        <w:numPr>
          <w:ilvl w:val="0"/>
          <w:numId w:val="1"/>
        </w:numPr>
        <w:tabs>
          <w:tab w:val="left" w:pos="840"/>
        </w:tabs>
        <w:spacing w:line="281" w:lineRule="auto"/>
        <w:ind w:left="860" w:hanging="420"/>
        <w:rPr>
          <w:sz w:val="24"/>
        </w:rPr>
      </w:pPr>
      <w:r>
        <w:rPr>
          <w:sz w:val="24"/>
        </w:rPr>
        <w:t>能够</w:t>
      </w:r>
      <w:r>
        <w:rPr>
          <w:rFonts w:hint="eastAsia"/>
          <w:sz w:val="24"/>
          <w:lang w:val="en-US"/>
        </w:rPr>
        <w:t>正确认识问题、分析问题，</w:t>
      </w:r>
      <w:r>
        <w:rPr>
          <w:sz w:val="24"/>
        </w:rPr>
        <w:t>应用常用的科学方法探讨</w:t>
      </w:r>
      <w:r>
        <w:rPr>
          <w:rFonts w:hint="eastAsia"/>
          <w:sz w:val="24"/>
          <w:lang w:val="en-US"/>
        </w:rPr>
        <w:t>及解决问题</w:t>
      </w:r>
      <w:r>
        <w:rPr>
          <w:sz w:val="24"/>
        </w:rPr>
        <w:t>。</w:t>
      </w:r>
    </w:p>
    <w:p>
      <w:pPr>
        <w:pStyle w:val="16"/>
        <w:numPr>
          <w:ilvl w:val="0"/>
          <w:numId w:val="1"/>
        </w:numPr>
        <w:tabs>
          <w:tab w:val="left" w:pos="840"/>
        </w:tabs>
        <w:spacing w:before="0" w:line="281" w:lineRule="auto"/>
        <w:ind w:left="860" w:hanging="420"/>
        <w:rPr>
          <w:sz w:val="24"/>
        </w:rPr>
      </w:pPr>
      <w:r>
        <w:rPr>
          <w:sz w:val="24"/>
        </w:rPr>
        <w:t>能够</w:t>
      </w:r>
      <w:r>
        <w:rPr>
          <w:rFonts w:hint="eastAsia"/>
          <w:sz w:val="24"/>
          <w:lang w:val="en-US"/>
        </w:rPr>
        <w:t>依法</w:t>
      </w:r>
      <w:r>
        <w:rPr>
          <w:sz w:val="24"/>
        </w:rPr>
        <w:t>获取、甄别、理解并应用医学等科学文献中的证据。</w:t>
      </w:r>
    </w:p>
    <w:p>
      <w:pPr>
        <w:pStyle w:val="16"/>
        <w:numPr>
          <w:ilvl w:val="0"/>
          <w:numId w:val="1"/>
        </w:numPr>
        <w:spacing w:before="0" w:line="281" w:lineRule="auto"/>
        <w:ind w:left="860"/>
        <w:rPr>
          <w:sz w:val="24"/>
        </w:rPr>
      </w:pPr>
      <w:r>
        <w:rPr>
          <w:rFonts w:hint="eastAsia"/>
          <w:sz w:val="24"/>
          <w:lang w:val="en-US"/>
        </w:rPr>
        <w:t>具备勇于探索创新的精神，善于解决问题的能力，并能用于指导未来的学习和医学实践。</w:t>
      </w:r>
    </w:p>
    <w:p>
      <w:pPr>
        <w:pStyle w:val="16"/>
        <w:numPr>
          <w:ilvl w:val="0"/>
          <w:numId w:val="1"/>
        </w:numPr>
        <w:tabs>
          <w:tab w:val="left" w:pos="840"/>
        </w:tabs>
        <w:spacing w:line="281" w:lineRule="auto"/>
        <w:ind w:left="860" w:hanging="420"/>
        <w:rPr>
          <w:sz w:val="24"/>
        </w:rPr>
      </w:pPr>
      <w:r>
        <w:rPr>
          <w:sz w:val="24"/>
        </w:rPr>
        <w:t>能够掌握中国传统医学的基本特点和诊疗基本原则。</w:t>
      </w:r>
    </w:p>
    <w:p>
      <w:pPr>
        <w:pStyle w:val="16"/>
        <w:numPr>
          <w:ilvl w:val="0"/>
          <w:numId w:val="1"/>
        </w:numPr>
        <w:tabs>
          <w:tab w:val="left" w:pos="840"/>
        </w:tabs>
        <w:spacing w:before="52" w:line="281" w:lineRule="auto"/>
        <w:ind w:left="860" w:hanging="420"/>
        <w:rPr>
          <w:sz w:val="24"/>
        </w:rPr>
      </w:pPr>
      <w:r>
        <w:rPr>
          <w:sz w:val="24"/>
        </w:rPr>
        <w:t>能够掌握临床医学科研的基本方法</w:t>
      </w:r>
      <w:r>
        <w:rPr>
          <w:rFonts w:hint="eastAsia"/>
          <w:sz w:val="24"/>
          <w:lang w:val="en-US"/>
        </w:rPr>
        <w:t>并能用于指导未来的学习和医学实践</w:t>
      </w:r>
      <w:r>
        <w:rPr>
          <w:sz w:val="24"/>
        </w:rPr>
        <w:t>。</w:t>
      </w:r>
    </w:p>
    <w:p>
      <w:pPr>
        <w:pStyle w:val="16"/>
        <w:numPr>
          <w:ilvl w:val="0"/>
          <w:numId w:val="1"/>
        </w:numPr>
        <w:tabs>
          <w:tab w:val="left" w:pos="840"/>
        </w:tabs>
        <w:spacing w:before="52" w:line="281" w:lineRule="auto"/>
        <w:ind w:left="860" w:hanging="420"/>
        <w:rPr>
          <w:sz w:val="24"/>
        </w:rPr>
      </w:pPr>
      <w:r>
        <w:rPr>
          <w:sz w:val="24"/>
        </w:rPr>
        <w:t>能够较熟练阅读本专业外文资料的能力和较好的外语交流能力。</w:t>
      </w:r>
    </w:p>
    <w:p>
      <w:pPr>
        <w:pStyle w:val="6"/>
        <w:spacing w:line="281" w:lineRule="auto"/>
      </w:pPr>
      <w:r>
        <w:t>（二）临床能力领域</w:t>
      </w:r>
    </w:p>
    <w:p>
      <w:pPr>
        <w:pStyle w:val="16"/>
        <w:numPr>
          <w:ilvl w:val="0"/>
          <w:numId w:val="2"/>
        </w:numPr>
        <w:tabs>
          <w:tab w:val="left" w:pos="840"/>
        </w:tabs>
        <w:spacing w:before="52" w:line="281" w:lineRule="auto"/>
        <w:ind w:left="901" w:right="121" w:hanging="420"/>
        <w:rPr>
          <w:sz w:val="24"/>
        </w:rPr>
      </w:pPr>
      <w:r>
        <w:rPr>
          <w:spacing w:val="3"/>
          <w:sz w:val="24"/>
        </w:rPr>
        <w:t>具有良好的沟通交流能力，能够</w:t>
      </w:r>
      <w:r>
        <w:rPr>
          <w:rFonts w:hint="eastAsia"/>
          <w:sz w:val="24"/>
          <w:lang w:val="en-US"/>
        </w:rPr>
        <w:t>尊重</w:t>
      </w:r>
      <w:r>
        <w:rPr>
          <w:spacing w:val="3"/>
          <w:sz w:val="24"/>
        </w:rPr>
        <w:t>患者及其家属、同行和其他卫生专业人员等</w:t>
      </w:r>
      <w:r>
        <w:rPr>
          <w:rFonts w:hint="eastAsia"/>
          <w:sz w:val="24"/>
          <w:lang w:val="en-US"/>
        </w:rPr>
        <w:t>并与之</w:t>
      </w:r>
      <w:r>
        <w:rPr>
          <w:spacing w:val="3"/>
          <w:sz w:val="24"/>
        </w:rPr>
        <w:t>进行有效的交流。</w:t>
      </w:r>
    </w:p>
    <w:p>
      <w:pPr>
        <w:pStyle w:val="16"/>
        <w:numPr>
          <w:ilvl w:val="0"/>
          <w:numId w:val="2"/>
        </w:numPr>
        <w:tabs>
          <w:tab w:val="left" w:pos="840"/>
        </w:tabs>
        <w:spacing w:before="1" w:line="281" w:lineRule="auto"/>
        <w:ind w:left="901" w:hanging="420"/>
        <w:rPr>
          <w:sz w:val="24"/>
        </w:rPr>
      </w:pPr>
      <w:r>
        <w:rPr>
          <w:sz w:val="24"/>
        </w:rPr>
        <w:t>能够全面、系统、正确地采集病史。</w:t>
      </w:r>
    </w:p>
    <w:p>
      <w:pPr>
        <w:pStyle w:val="16"/>
        <w:numPr>
          <w:ilvl w:val="0"/>
          <w:numId w:val="2"/>
        </w:numPr>
        <w:tabs>
          <w:tab w:val="left" w:pos="840"/>
        </w:tabs>
        <w:spacing w:line="281" w:lineRule="auto"/>
        <w:ind w:left="901" w:hanging="420"/>
        <w:rPr>
          <w:sz w:val="24"/>
        </w:rPr>
      </w:pPr>
      <w:r>
        <w:rPr>
          <w:sz w:val="24"/>
        </w:rPr>
        <w:t>能够系统、规范</w:t>
      </w:r>
      <w:r>
        <w:rPr>
          <w:sz w:val="24"/>
          <w:lang w:val="en-US"/>
        </w:rPr>
        <w:t>地</w:t>
      </w:r>
      <w:r>
        <w:rPr>
          <w:sz w:val="24"/>
        </w:rPr>
        <w:t>进行体格检查及精神状态评价，规范</w:t>
      </w:r>
      <w:r>
        <w:rPr>
          <w:sz w:val="24"/>
          <w:lang w:val="en-US"/>
        </w:rPr>
        <w:t>地</w:t>
      </w:r>
      <w:r>
        <w:rPr>
          <w:sz w:val="24"/>
        </w:rPr>
        <w:t>书写病历。</w:t>
      </w:r>
    </w:p>
    <w:p>
      <w:pPr>
        <w:pStyle w:val="16"/>
        <w:numPr>
          <w:ilvl w:val="0"/>
          <w:numId w:val="2"/>
        </w:numPr>
        <w:tabs>
          <w:tab w:val="left" w:pos="840"/>
        </w:tabs>
        <w:spacing w:before="52" w:line="281" w:lineRule="auto"/>
        <w:ind w:left="901" w:right="117" w:hanging="420"/>
        <w:rPr>
          <w:sz w:val="24"/>
        </w:rPr>
      </w:pPr>
      <w:r>
        <w:rPr>
          <w:spacing w:val="3"/>
          <w:sz w:val="24"/>
        </w:rPr>
        <w:t>能够依据病史和体格检查中的发现，形成初步诊断，并进行鉴别诊断，提出合理的治疗原则。</w:t>
      </w:r>
    </w:p>
    <w:p>
      <w:pPr>
        <w:pStyle w:val="16"/>
        <w:numPr>
          <w:ilvl w:val="0"/>
          <w:numId w:val="2"/>
        </w:numPr>
        <w:tabs>
          <w:tab w:val="left" w:pos="840"/>
        </w:tabs>
        <w:spacing w:before="1" w:line="281" w:lineRule="auto"/>
        <w:ind w:left="901" w:right="123" w:hanging="420"/>
        <w:rPr>
          <w:sz w:val="24"/>
        </w:rPr>
      </w:pPr>
      <w:r>
        <w:rPr>
          <w:spacing w:val="3"/>
          <w:sz w:val="24"/>
        </w:rPr>
        <w:t>能够根据患者的病情、安全和成本效益等因素，选择适宜的临床检查方法并能说明其合理性，对检查结果能做出</w:t>
      </w:r>
      <w:r>
        <w:rPr>
          <w:rFonts w:hint="eastAsia"/>
          <w:spacing w:val="3"/>
          <w:sz w:val="24"/>
          <w:lang w:val="en-US"/>
        </w:rPr>
        <w:t>有效</w:t>
      </w:r>
      <w:r>
        <w:rPr>
          <w:spacing w:val="3"/>
          <w:sz w:val="24"/>
        </w:rPr>
        <w:t>判断和解释。</w:t>
      </w:r>
    </w:p>
    <w:p>
      <w:pPr>
        <w:pStyle w:val="16"/>
        <w:numPr>
          <w:ilvl w:val="0"/>
          <w:numId w:val="2"/>
        </w:numPr>
        <w:tabs>
          <w:tab w:val="left" w:pos="840"/>
        </w:tabs>
        <w:spacing w:before="0" w:line="281" w:lineRule="auto"/>
        <w:ind w:left="901" w:hanging="420"/>
        <w:rPr>
          <w:sz w:val="24"/>
        </w:rPr>
      </w:pPr>
      <w:r>
        <w:rPr>
          <w:sz w:val="24"/>
        </w:rPr>
        <w:t>能够选择并安全地实施各种常见的临床基本操作。</w:t>
      </w:r>
    </w:p>
    <w:p>
      <w:pPr>
        <w:pStyle w:val="16"/>
        <w:numPr>
          <w:ilvl w:val="0"/>
          <w:numId w:val="2"/>
        </w:numPr>
        <w:tabs>
          <w:tab w:val="left" w:pos="840"/>
        </w:tabs>
        <w:spacing w:line="281" w:lineRule="auto"/>
        <w:ind w:left="901" w:right="119" w:hanging="420"/>
        <w:rPr>
          <w:sz w:val="24"/>
        </w:rPr>
      </w:pPr>
      <w:r>
        <w:rPr>
          <w:spacing w:val="3"/>
          <w:sz w:val="24"/>
        </w:rPr>
        <w:t>能够根据不断获取的证据做出临床诊断和决策，在上级医生指导下确定进一步的诊疗方案并说明其合理性。</w:t>
      </w:r>
    </w:p>
    <w:p>
      <w:pPr>
        <w:pStyle w:val="16"/>
        <w:numPr>
          <w:ilvl w:val="0"/>
          <w:numId w:val="2"/>
        </w:numPr>
        <w:tabs>
          <w:tab w:val="left" w:pos="840"/>
        </w:tabs>
        <w:spacing w:before="1" w:line="281" w:lineRule="auto"/>
        <w:ind w:left="901" w:right="123" w:hanging="420"/>
        <w:jc w:val="both"/>
        <w:rPr>
          <w:sz w:val="24"/>
        </w:rPr>
      </w:pPr>
      <w:r>
        <w:rPr>
          <w:spacing w:val="3"/>
          <w:sz w:val="24"/>
        </w:rPr>
        <w:t>能够了解患者的问题、意见、关注点和偏好，使患者及其家属充分理解病情； 努力同患者及其家属共同制订诊疗计划，并就诊疗方案的风险和益处进行沟通，促进良好的医患关系。</w:t>
      </w:r>
    </w:p>
    <w:p>
      <w:pPr>
        <w:pStyle w:val="16"/>
        <w:numPr>
          <w:ilvl w:val="0"/>
          <w:numId w:val="2"/>
        </w:numPr>
        <w:tabs>
          <w:tab w:val="left" w:pos="840"/>
        </w:tabs>
        <w:spacing w:before="0" w:line="281" w:lineRule="auto"/>
        <w:ind w:left="901" w:right="108" w:hanging="420"/>
        <w:rPr>
          <w:sz w:val="24"/>
        </w:rPr>
      </w:pPr>
      <w:r>
        <w:rPr>
          <w:sz w:val="24"/>
        </w:rPr>
        <w:t>能够及时向患者及其家属/监护人提供相关信息，使他们在充分知情的前提下选择诊疗方案。</w:t>
      </w:r>
    </w:p>
    <w:p>
      <w:pPr>
        <w:pStyle w:val="16"/>
        <w:numPr>
          <w:ilvl w:val="0"/>
          <w:numId w:val="2"/>
        </w:numPr>
        <w:tabs>
          <w:tab w:val="left" w:pos="960"/>
        </w:tabs>
        <w:spacing w:before="1" w:line="281" w:lineRule="auto"/>
        <w:ind w:left="901" w:hanging="420"/>
      </w:pPr>
      <w:r>
        <w:rPr>
          <w:sz w:val="24"/>
        </w:rPr>
        <w:t>能够将疾病预防、早期发现、卫生保健和慢性疾病管理等知识和理念结合到临</w:t>
      </w:r>
      <w:r>
        <w:t>床实践中。</w:t>
      </w:r>
    </w:p>
    <w:p>
      <w:pPr>
        <w:pStyle w:val="16"/>
        <w:numPr>
          <w:ilvl w:val="0"/>
          <w:numId w:val="2"/>
        </w:numPr>
        <w:tabs>
          <w:tab w:val="left" w:pos="960"/>
        </w:tabs>
        <w:spacing w:before="52" w:line="281" w:lineRule="auto"/>
        <w:ind w:left="901" w:hanging="420"/>
        <w:rPr>
          <w:sz w:val="24"/>
        </w:rPr>
      </w:pPr>
      <w:r>
        <w:rPr>
          <w:sz w:val="24"/>
        </w:rPr>
        <w:t>能够依据客观证据，提出</w:t>
      </w:r>
      <w:r>
        <w:rPr>
          <w:rFonts w:hint="eastAsia"/>
          <w:sz w:val="24"/>
          <w:lang w:val="en-US"/>
        </w:rPr>
        <w:t>合法、</w:t>
      </w:r>
      <w:r>
        <w:rPr>
          <w:sz w:val="24"/>
        </w:rPr>
        <w:t>安全、有效、经济的治疗方案。</w:t>
      </w:r>
    </w:p>
    <w:p>
      <w:pPr>
        <w:pStyle w:val="16"/>
        <w:numPr>
          <w:ilvl w:val="0"/>
          <w:numId w:val="2"/>
        </w:numPr>
        <w:tabs>
          <w:tab w:val="left" w:pos="960"/>
        </w:tabs>
        <w:spacing w:line="281" w:lineRule="auto"/>
        <w:ind w:left="901" w:hanging="420"/>
        <w:rPr>
          <w:sz w:val="24"/>
        </w:rPr>
      </w:pPr>
      <w:r>
        <w:rPr>
          <w:sz w:val="24"/>
        </w:rPr>
        <w:t>能够</w:t>
      </w:r>
      <w:r>
        <w:rPr>
          <w:rFonts w:hint="eastAsia"/>
          <w:sz w:val="24"/>
          <w:lang w:val="en-US"/>
        </w:rPr>
        <w:t>及时</w:t>
      </w:r>
      <w:r>
        <w:rPr>
          <w:sz w:val="24"/>
        </w:rPr>
        <w:t>发现并评估病情程度及变化，对需要紧急处理的患者进行</w:t>
      </w:r>
      <w:r>
        <w:rPr>
          <w:rFonts w:hint="eastAsia"/>
          <w:sz w:val="24"/>
          <w:lang w:val="en-US"/>
        </w:rPr>
        <w:t>合法的</w:t>
      </w:r>
      <w:r>
        <w:rPr>
          <w:sz w:val="24"/>
        </w:rPr>
        <w:t>急救处理。</w:t>
      </w:r>
    </w:p>
    <w:p>
      <w:pPr>
        <w:pStyle w:val="16"/>
        <w:numPr>
          <w:ilvl w:val="0"/>
          <w:numId w:val="2"/>
        </w:numPr>
        <w:tabs>
          <w:tab w:val="left" w:pos="960"/>
        </w:tabs>
        <w:spacing w:before="52" w:line="281" w:lineRule="auto"/>
        <w:ind w:left="901" w:right="111" w:hanging="420"/>
        <w:jc w:val="both"/>
        <w:rPr>
          <w:sz w:val="24"/>
        </w:rPr>
      </w:pPr>
      <w:r>
        <w:rPr>
          <w:sz w:val="24"/>
        </w:rPr>
        <w:t>能够掌握临终患者的治疗原则，沟通患者家属或监护人，避免不必要的检查或</w:t>
      </w:r>
      <w:r>
        <w:rPr>
          <w:spacing w:val="3"/>
          <w:sz w:val="24"/>
        </w:rPr>
        <w:t>治疗。用对症、心理支持等姑息治疗的方法来达到人道主义的目的，提高舒适度并使患者获得应有的尊严。</w:t>
      </w:r>
    </w:p>
    <w:p>
      <w:pPr>
        <w:pStyle w:val="16"/>
        <w:numPr>
          <w:ilvl w:val="0"/>
          <w:numId w:val="2"/>
        </w:numPr>
        <w:tabs>
          <w:tab w:val="left" w:pos="960"/>
        </w:tabs>
        <w:spacing w:before="52" w:line="281" w:lineRule="auto"/>
        <w:ind w:left="901" w:right="111" w:hanging="420"/>
        <w:jc w:val="both"/>
        <w:rPr>
          <w:sz w:val="24"/>
        </w:rPr>
      </w:pPr>
      <w:r>
        <w:rPr>
          <w:sz w:val="24"/>
        </w:rPr>
        <w:t>能够在临床数据系统中有效地检索、解读和记录信息。</w:t>
      </w:r>
    </w:p>
    <w:p>
      <w:pPr>
        <w:pStyle w:val="16"/>
        <w:numPr>
          <w:ilvl w:val="0"/>
          <w:numId w:val="2"/>
        </w:numPr>
        <w:tabs>
          <w:tab w:val="left" w:pos="960"/>
        </w:tabs>
        <w:spacing w:before="52" w:line="281" w:lineRule="auto"/>
        <w:ind w:left="901" w:right="111" w:hanging="420"/>
        <w:jc w:val="both"/>
        <w:rPr>
          <w:sz w:val="24"/>
        </w:rPr>
      </w:pPr>
      <w:r>
        <w:rPr>
          <w:sz w:val="24"/>
        </w:rPr>
        <w:t>学习并掌握临床医学科研的基本方法。</w:t>
      </w:r>
    </w:p>
    <w:p>
      <w:pPr>
        <w:pStyle w:val="6"/>
        <w:spacing w:before="52" w:line="281" w:lineRule="auto"/>
      </w:pPr>
      <w:r>
        <w:t>（三）健康与社会领域</w:t>
      </w:r>
    </w:p>
    <w:p>
      <w:pPr>
        <w:pStyle w:val="16"/>
        <w:numPr>
          <w:ilvl w:val="0"/>
          <w:numId w:val="3"/>
        </w:numPr>
        <w:tabs>
          <w:tab w:val="left" w:pos="840"/>
        </w:tabs>
        <w:spacing w:line="281" w:lineRule="auto"/>
        <w:ind w:left="901" w:hanging="420"/>
        <w:rPr>
          <w:sz w:val="24"/>
        </w:rPr>
      </w:pPr>
      <w:r>
        <w:rPr>
          <w:sz w:val="24"/>
        </w:rPr>
        <w:t>具有保护并促进个体和人群健康的责任意识。</w:t>
      </w:r>
    </w:p>
    <w:p>
      <w:pPr>
        <w:pStyle w:val="16"/>
        <w:numPr>
          <w:ilvl w:val="0"/>
          <w:numId w:val="3"/>
        </w:numPr>
        <w:tabs>
          <w:tab w:val="left" w:pos="840"/>
        </w:tabs>
        <w:spacing w:line="281" w:lineRule="auto"/>
        <w:ind w:left="901" w:right="123" w:hanging="420"/>
        <w:jc w:val="both"/>
        <w:rPr>
          <w:sz w:val="24"/>
        </w:rPr>
      </w:pPr>
      <w:r>
        <w:rPr>
          <w:spacing w:val="3"/>
          <w:sz w:val="24"/>
        </w:rPr>
        <w:t>能够了解影响人群健康、疾病和有效治疗的因素，包括健康不公平和不平等的相关问题，文化、精神和社会价值观的多样化，以及社会经济、心理状态和自然环境因素。</w:t>
      </w:r>
    </w:p>
    <w:p>
      <w:pPr>
        <w:pStyle w:val="16"/>
        <w:numPr>
          <w:ilvl w:val="0"/>
          <w:numId w:val="3"/>
        </w:numPr>
        <w:tabs>
          <w:tab w:val="left" w:pos="840"/>
        </w:tabs>
        <w:spacing w:before="0" w:line="281" w:lineRule="auto"/>
        <w:ind w:left="901" w:hanging="420"/>
        <w:rPr>
          <w:sz w:val="24"/>
        </w:rPr>
      </w:pPr>
      <w:r>
        <w:rPr>
          <w:sz w:val="24"/>
        </w:rPr>
        <w:t>能够以不同的角色进行有效沟通，如开展健康教育等。</w:t>
      </w:r>
    </w:p>
    <w:p>
      <w:pPr>
        <w:pStyle w:val="16"/>
        <w:numPr>
          <w:ilvl w:val="0"/>
          <w:numId w:val="3"/>
        </w:numPr>
        <w:tabs>
          <w:tab w:val="left" w:pos="840"/>
        </w:tabs>
        <w:spacing w:line="281" w:lineRule="auto"/>
        <w:ind w:left="901" w:right="123" w:hanging="420"/>
        <w:rPr>
          <w:sz w:val="24"/>
        </w:rPr>
      </w:pPr>
      <w:r>
        <w:rPr>
          <w:spacing w:val="10"/>
          <w:sz w:val="24"/>
        </w:rPr>
        <w:t>解释和评估人群的健康检查和预防措施，包括人群健康状况的监测、患者随访、用药、康复治疗及其他方面的指导等。</w:t>
      </w:r>
    </w:p>
    <w:p>
      <w:pPr>
        <w:pStyle w:val="16"/>
        <w:numPr>
          <w:ilvl w:val="0"/>
          <w:numId w:val="3"/>
        </w:numPr>
        <w:tabs>
          <w:tab w:val="left" w:pos="840"/>
        </w:tabs>
        <w:spacing w:before="0" w:line="281" w:lineRule="auto"/>
        <w:ind w:left="901" w:right="123" w:hanging="420"/>
        <w:rPr>
          <w:sz w:val="24"/>
        </w:rPr>
      </w:pPr>
      <w:r>
        <w:rPr>
          <w:spacing w:val="10"/>
          <w:sz w:val="24"/>
        </w:rPr>
        <w:t>能够了解医院医疗质量保障和医疗安全管理体系，明确自己的业务能力与权限，重视患者安全，及时识别对患者不利的危险因素。</w:t>
      </w:r>
    </w:p>
    <w:p>
      <w:pPr>
        <w:pStyle w:val="16"/>
        <w:numPr>
          <w:ilvl w:val="0"/>
          <w:numId w:val="3"/>
        </w:numPr>
        <w:tabs>
          <w:tab w:val="left" w:pos="840"/>
        </w:tabs>
        <w:spacing w:before="1" w:line="281" w:lineRule="auto"/>
        <w:ind w:left="901" w:right="123" w:hanging="420"/>
        <w:rPr>
          <w:sz w:val="24"/>
        </w:rPr>
      </w:pPr>
      <w:r>
        <w:rPr>
          <w:spacing w:val="10"/>
          <w:sz w:val="24"/>
        </w:rPr>
        <w:t>能够了解我国医疗卫生系统的结构和功能，以及各组成部门的职能和相互关系，理解合理分配有限资源的原则，以满足个人、群体和国家的健康需求。</w:t>
      </w:r>
    </w:p>
    <w:p>
      <w:pPr>
        <w:pStyle w:val="16"/>
        <w:numPr>
          <w:ilvl w:val="0"/>
          <w:numId w:val="3"/>
        </w:numPr>
        <w:tabs>
          <w:tab w:val="left" w:pos="840"/>
        </w:tabs>
        <w:spacing w:before="1" w:line="281" w:lineRule="auto"/>
        <w:ind w:right="123" w:firstLine="15"/>
        <w:rPr>
          <w:sz w:val="24"/>
        </w:rPr>
      </w:pPr>
      <w:r>
        <w:rPr>
          <w:rFonts w:hint="eastAsia"/>
          <w:color w:val="333333"/>
          <w:szCs w:val="28"/>
          <w:lang w:val="en-US"/>
        </w:rPr>
        <w:t xml:space="preserve"> 具备</w:t>
      </w:r>
      <w:r>
        <w:rPr>
          <w:rFonts w:hint="eastAsia"/>
          <w:color w:val="333333"/>
          <w:szCs w:val="28"/>
        </w:rPr>
        <w:t>依法应对重大突发公共卫生事件能力。</w:t>
      </w:r>
    </w:p>
    <w:p>
      <w:pPr>
        <w:pStyle w:val="16"/>
        <w:numPr>
          <w:ilvl w:val="0"/>
          <w:numId w:val="3"/>
        </w:numPr>
        <w:tabs>
          <w:tab w:val="left" w:pos="840"/>
        </w:tabs>
        <w:spacing w:before="1" w:line="281" w:lineRule="auto"/>
        <w:ind w:left="901" w:hanging="420"/>
        <w:rPr>
          <w:sz w:val="24"/>
        </w:rPr>
      </w:pPr>
      <w:r>
        <w:rPr>
          <w:sz w:val="24"/>
        </w:rPr>
        <w:t>能够理解全球健康问题以及健康和疾病的决定因素。</w:t>
      </w:r>
    </w:p>
    <w:p>
      <w:pPr>
        <w:pStyle w:val="6"/>
        <w:spacing w:before="52" w:line="281" w:lineRule="auto"/>
      </w:pPr>
      <w:r>
        <w:t>（四）职业素养领域</w:t>
      </w:r>
    </w:p>
    <w:p>
      <w:pPr>
        <w:pStyle w:val="16"/>
        <w:numPr>
          <w:ilvl w:val="0"/>
          <w:numId w:val="4"/>
        </w:numPr>
        <w:tabs>
          <w:tab w:val="left" w:pos="840"/>
        </w:tabs>
        <w:spacing w:line="281" w:lineRule="auto"/>
        <w:ind w:left="901" w:hanging="420"/>
        <w:rPr>
          <w:sz w:val="24"/>
        </w:rPr>
      </w:pPr>
      <w:r>
        <w:rPr>
          <w:rFonts w:hint="eastAsia"/>
          <w:sz w:val="24"/>
        </w:rPr>
        <w:t>对党的创新理论</w:t>
      </w:r>
      <w:r>
        <w:rPr>
          <w:rFonts w:hint="eastAsia"/>
          <w:sz w:val="24"/>
          <w:lang w:val="en-US"/>
        </w:rPr>
        <w:t>有</w:t>
      </w:r>
      <w:r>
        <w:rPr>
          <w:rFonts w:hint="eastAsia"/>
          <w:sz w:val="24"/>
        </w:rPr>
        <w:t>政治认同、思想认同、情感认同，</w:t>
      </w:r>
      <w:r>
        <w:rPr>
          <w:rFonts w:hint="eastAsia"/>
          <w:sz w:val="24"/>
          <w:lang w:val="en-US"/>
        </w:rPr>
        <w:t>能</w:t>
      </w:r>
      <w:r>
        <w:rPr>
          <w:rFonts w:hint="eastAsia"/>
          <w:sz w:val="24"/>
        </w:rPr>
        <w:t>坚定中国特色社会主义道路自信、理论自信、制度自信、文化自信。</w:t>
      </w:r>
    </w:p>
    <w:p>
      <w:pPr>
        <w:pStyle w:val="16"/>
        <w:numPr>
          <w:ilvl w:val="0"/>
          <w:numId w:val="4"/>
        </w:numPr>
        <w:tabs>
          <w:tab w:val="left" w:pos="840"/>
        </w:tabs>
        <w:spacing w:line="281" w:lineRule="auto"/>
        <w:ind w:left="901" w:hanging="420"/>
        <w:rPr>
          <w:sz w:val="24"/>
        </w:rPr>
      </w:pPr>
      <w:r>
        <w:rPr>
          <w:sz w:val="24"/>
        </w:rPr>
        <w:t>能够根据《中国医师道德准则》为所有患者提供人道主义的医疗服务</w:t>
      </w:r>
      <w:r>
        <w:rPr>
          <w:rFonts w:hint="eastAsia"/>
          <w:sz w:val="24"/>
        </w:rPr>
        <w:t>，具有“</w:t>
      </w:r>
      <w:r>
        <w:rPr>
          <w:rFonts w:hint="eastAsia"/>
          <w:sz w:val="24"/>
          <w:lang w:val="en-US"/>
        </w:rPr>
        <w:t>敬佑生命、救死扶伤、甘于奉献、大爱无疆</w:t>
      </w:r>
      <w:r>
        <w:rPr>
          <w:rFonts w:hint="eastAsia"/>
          <w:sz w:val="24"/>
        </w:rPr>
        <w:t>”</w:t>
      </w:r>
      <w:r>
        <w:rPr>
          <w:rFonts w:hint="eastAsia"/>
          <w:sz w:val="24"/>
          <w:lang w:val="en-US"/>
        </w:rPr>
        <w:t>的医者精神</w:t>
      </w:r>
      <w:r>
        <w:rPr>
          <w:rFonts w:hint="eastAsia"/>
          <w:sz w:val="24"/>
        </w:rPr>
        <w:t>。</w:t>
      </w:r>
    </w:p>
    <w:p>
      <w:pPr>
        <w:pStyle w:val="16"/>
        <w:numPr>
          <w:ilvl w:val="0"/>
          <w:numId w:val="4"/>
        </w:numPr>
        <w:tabs>
          <w:tab w:val="left" w:pos="840"/>
        </w:tabs>
        <w:spacing w:before="0" w:line="281" w:lineRule="auto"/>
        <w:ind w:left="901" w:hanging="420"/>
        <w:rPr>
          <w:sz w:val="24"/>
        </w:rPr>
      </w:pPr>
      <w:r>
        <w:rPr>
          <w:sz w:val="24"/>
        </w:rPr>
        <w:t>能够了解并遵守医疗行业的基本法律法规和职业道德</w:t>
      </w:r>
      <w:r>
        <w:rPr>
          <w:rFonts w:hint="eastAsia"/>
          <w:sz w:val="24"/>
        </w:rPr>
        <w:t>，</w:t>
      </w:r>
      <w:r>
        <w:rPr>
          <w:rFonts w:hint="eastAsia"/>
          <w:sz w:val="24"/>
          <w:lang w:val="en-US"/>
        </w:rPr>
        <w:t>具备</w:t>
      </w:r>
      <w:r>
        <w:rPr>
          <w:rFonts w:hint="eastAsia"/>
          <w:sz w:val="24"/>
        </w:rPr>
        <w:t>遵纪守法、爱岗敬业、无私奉献、诚实守信、公道办事、开拓创新的职业品格和行为习惯。</w:t>
      </w:r>
    </w:p>
    <w:p>
      <w:pPr>
        <w:pStyle w:val="16"/>
        <w:numPr>
          <w:ilvl w:val="0"/>
          <w:numId w:val="4"/>
        </w:numPr>
        <w:tabs>
          <w:tab w:val="left" w:pos="840"/>
        </w:tabs>
        <w:spacing w:before="52" w:line="281" w:lineRule="auto"/>
        <w:ind w:left="901" w:right="123" w:hanging="420"/>
        <w:rPr>
          <w:sz w:val="24"/>
        </w:rPr>
      </w:pPr>
      <w:r>
        <w:rPr>
          <w:spacing w:val="3"/>
          <w:sz w:val="24"/>
        </w:rPr>
        <w:t>能够了解医疗卫生领域职业精神的内涵，在工作中养成同理心、尊重患者和提供优质服务等行为，树立真诚、正直、团队合作和领导力等素养。</w:t>
      </w:r>
    </w:p>
    <w:p>
      <w:pPr>
        <w:pStyle w:val="16"/>
        <w:numPr>
          <w:ilvl w:val="0"/>
          <w:numId w:val="4"/>
        </w:numPr>
        <w:tabs>
          <w:tab w:val="left" w:pos="840"/>
        </w:tabs>
        <w:spacing w:before="1" w:line="281" w:lineRule="auto"/>
        <w:ind w:left="901" w:right="123" w:hanging="420"/>
        <w:rPr>
          <w:sz w:val="24"/>
        </w:rPr>
      </w:pPr>
      <w:r>
        <w:rPr>
          <w:spacing w:val="3"/>
          <w:sz w:val="24"/>
        </w:rPr>
        <w:t>能够掌握医学伦理学的主要原理，并将其应用于医疗服务中。能够与患者及其家属、同行和其他卫生专业人员等有效地沟通伦理问题。</w:t>
      </w:r>
    </w:p>
    <w:p>
      <w:pPr>
        <w:pStyle w:val="16"/>
        <w:numPr>
          <w:ilvl w:val="0"/>
          <w:numId w:val="4"/>
        </w:numPr>
        <w:tabs>
          <w:tab w:val="left" w:pos="840"/>
        </w:tabs>
        <w:spacing w:before="1" w:line="281" w:lineRule="auto"/>
        <w:ind w:left="901" w:right="123" w:hanging="420"/>
        <w:rPr>
          <w:sz w:val="24"/>
        </w:rPr>
      </w:pPr>
      <w:r>
        <w:rPr>
          <w:spacing w:val="3"/>
          <w:sz w:val="24"/>
        </w:rPr>
        <w:t>能够了解影响医生健康的因素，如疲劳、压力和交叉感染等，并注意在医疗服务中有意识地控制这些因素，同时知晓自身健康对患者可能构成的风险。</w:t>
      </w:r>
    </w:p>
    <w:p>
      <w:pPr>
        <w:pStyle w:val="16"/>
        <w:numPr>
          <w:ilvl w:val="0"/>
          <w:numId w:val="4"/>
        </w:numPr>
        <w:tabs>
          <w:tab w:val="left" w:pos="840"/>
        </w:tabs>
        <w:spacing w:before="0" w:line="281" w:lineRule="auto"/>
        <w:ind w:left="901" w:hanging="420"/>
        <w:rPr>
          <w:sz w:val="24"/>
        </w:rPr>
      </w:pPr>
      <w:r>
        <w:rPr>
          <w:sz w:val="24"/>
        </w:rPr>
        <w:t>能够了解并遵守医疗行业的基本法律法规和职业道德。</w:t>
      </w:r>
      <w:r>
        <w:rPr>
          <w:rFonts w:hint="eastAsia"/>
          <w:sz w:val="24"/>
        </w:rPr>
        <w:t>，</w:t>
      </w:r>
      <w:r>
        <w:rPr>
          <w:rFonts w:hint="eastAsia"/>
          <w:sz w:val="24"/>
          <w:lang w:val="en-US"/>
        </w:rPr>
        <w:t>具备</w:t>
      </w:r>
      <w:r>
        <w:rPr>
          <w:rFonts w:hint="eastAsia"/>
          <w:sz w:val="24"/>
        </w:rPr>
        <w:t>遵纪守法、爱岗敬业、无私奉献、诚实守信、公道办事、开拓创新的职业品格和行为习惯。</w:t>
      </w:r>
    </w:p>
    <w:p>
      <w:pPr>
        <w:pStyle w:val="16"/>
        <w:numPr>
          <w:ilvl w:val="0"/>
          <w:numId w:val="4"/>
        </w:numPr>
        <w:tabs>
          <w:tab w:val="left" w:pos="840"/>
        </w:tabs>
        <w:spacing w:line="281" w:lineRule="auto"/>
        <w:ind w:left="901" w:right="123" w:hanging="420"/>
        <w:rPr>
          <w:sz w:val="24"/>
        </w:rPr>
      </w:pPr>
      <w:r>
        <w:rPr>
          <w:spacing w:val="3"/>
          <w:sz w:val="24"/>
        </w:rPr>
        <w:t>能够意识到自己专业知识的局限性，尊重其他卫生从业人员，并注重相互合作和学习。</w:t>
      </w:r>
    </w:p>
    <w:p>
      <w:pPr>
        <w:pStyle w:val="16"/>
        <w:numPr>
          <w:ilvl w:val="0"/>
          <w:numId w:val="4"/>
        </w:numPr>
        <w:tabs>
          <w:tab w:val="left" w:pos="840"/>
        </w:tabs>
        <w:spacing w:before="0" w:line="281" w:lineRule="auto"/>
        <w:ind w:left="901" w:right="123" w:hanging="420"/>
        <w:rPr>
          <w:sz w:val="24"/>
        </w:rPr>
      </w:pPr>
      <w:r>
        <w:rPr>
          <w:spacing w:val="3"/>
          <w:sz w:val="24"/>
        </w:rPr>
        <w:t>树立自主学习、终身学习的观念，认识到持续自我完善的重要性，不断追求卓越。</w:t>
      </w:r>
    </w:p>
    <w:p>
      <w:pPr>
        <w:pStyle w:val="10"/>
        <w:autoSpaceDE/>
        <w:autoSpaceDN/>
        <w:spacing w:before="0" w:beforeAutospacing="0" w:after="0" w:afterAutospacing="0" w:line="281" w:lineRule="auto"/>
        <w:ind w:firstLine="480" w:firstLineChars="200"/>
        <w:rPr>
          <w:rStyle w:val="14"/>
          <w:rFonts w:ascii="Times New Roman" w:hAnsi="Times New Roman" w:eastAsiaTheme="minorHAnsi"/>
          <w:szCs w:val="24"/>
          <w:lang w:val="en-US" w:bidi="ar-SA"/>
        </w:rPr>
      </w:pPr>
      <w:r>
        <w:rPr>
          <w:rStyle w:val="14"/>
          <w:rFonts w:hint="eastAsia" w:ascii="Times New Roman" w:hAnsi="Times New Roman" w:eastAsiaTheme="minorHAnsi"/>
          <w:szCs w:val="24"/>
          <w:lang w:val="en-US" w:bidi="ar-SA"/>
        </w:rPr>
        <w:t>三、课程体系和主要课程</w:t>
      </w:r>
    </w:p>
    <w:p>
      <w:pPr>
        <w:pStyle w:val="6"/>
        <w:spacing w:line="281" w:lineRule="auto"/>
      </w:pPr>
      <w:r>
        <w:t>（一）课程体系：人文社会科学、自然科学、生物医学、公共卫生、临床医学。</w:t>
      </w:r>
    </w:p>
    <w:p>
      <w:pPr>
        <w:pStyle w:val="6"/>
        <w:spacing w:before="47" w:line="281" w:lineRule="auto"/>
        <w:ind w:left="119" w:right="187" w:firstLine="480" w:firstLineChars="200"/>
      </w:pPr>
      <w:r>
        <w:t>（二）</w:t>
      </w:r>
      <w:r>
        <w:rPr>
          <w:spacing w:val="-1"/>
        </w:rPr>
        <w:t>主要课程：军事理论、思想政治理论课、英语、体育、大学生安全教育、</w:t>
      </w:r>
      <w:r>
        <w:rPr>
          <w:rFonts w:hint="eastAsia"/>
          <w:lang w:val="en-US"/>
        </w:rPr>
        <w:t>劳动教育、</w:t>
      </w:r>
      <w:r>
        <w:rPr>
          <w:spacing w:val="-1"/>
        </w:rPr>
        <w:t>创业基础、大学生职业发展与就业指导、大学生心理健康教育、思想</w:t>
      </w:r>
      <w:r>
        <w:rPr>
          <w:rFonts w:hint="eastAsia"/>
          <w:spacing w:val="-1"/>
          <w:lang w:val="en-US"/>
        </w:rPr>
        <w:t>道</w:t>
      </w:r>
      <w:r>
        <w:rPr>
          <w:spacing w:val="-1"/>
        </w:rPr>
        <w:t>德与法</w:t>
      </w:r>
      <w:r>
        <w:rPr>
          <w:rFonts w:hint="eastAsia"/>
          <w:spacing w:val="-1"/>
          <w:lang w:val="en-US"/>
        </w:rPr>
        <w:t>治</w:t>
      </w:r>
      <w:r>
        <w:t>、</w:t>
      </w:r>
      <w:r>
        <w:rPr>
          <w:rFonts w:hint="eastAsia"/>
          <w:lang w:val="en-US"/>
        </w:rPr>
        <w:t>形势与政策、</w:t>
      </w:r>
      <w:r>
        <w:t>中国近现代史纲要、毛泽东思想和中国特色社会主义理论体系概论、马克思主义基本原理、</w:t>
      </w:r>
      <w:r>
        <w:rPr>
          <w:rFonts w:hint="eastAsia"/>
          <w:lang w:val="en-US"/>
        </w:rPr>
        <w:t>习近平新时代中国特色社会主义思想概述、</w:t>
      </w:r>
      <w:r>
        <w:t>自然辩证法*、医患沟通学、卫生法学、医学心理学、医学伦理学、医用物理学、基础化学、高等数学、有机化学、计算机应用基础、系统解剖学、细胞生物学、生理学、生物化学与分子生物学、组织学与胚胎学、医学免疫学、医学微生物学、病理学、机能实验学、医学遗传学、人体寄生虫学、病理生理学、药理学、局部解剖学、医学信息检索与利用、预防医学、医学统计学、流行病学、循证医学、科学研究入门*、全科医学概论、诊断学、外科学总论、内科学、外科学、妇产科学、儿科学、中医学、神经病学、传染病学、超声</w:t>
      </w:r>
      <w:r>
        <w:rPr>
          <w:rFonts w:hint="eastAsia"/>
          <w:lang w:val="en-US"/>
        </w:rPr>
        <w:t>诊断</w:t>
      </w:r>
      <w:r>
        <w:t>学、核医学、耳鼻咽喉科学、精神病学、皮肤性病学、口腔科学、眼科学、康复医学、老年医学、</w:t>
      </w:r>
      <w:r>
        <w:rPr>
          <w:rFonts w:hint="eastAsia"/>
          <w:lang w:val="en-US"/>
        </w:rPr>
        <w:t>医学</w:t>
      </w:r>
      <w:r>
        <w:t>影像学、急诊医学、麻醉学、临床技能学。</w:t>
      </w:r>
    </w:p>
    <w:p>
      <w:pPr>
        <w:pStyle w:val="6"/>
        <w:spacing w:before="2" w:line="281" w:lineRule="auto"/>
      </w:pPr>
      <w:r>
        <w:t>注：*</w:t>
      </w:r>
      <w:r>
        <w:rPr>
          <w:spacing w:val="-1"/>
        </w:rPr>
        <w:t xml:space="preserve"> 为硕士学位课程</w:t>
      </w:r>
    </w:p>
    <w:p>
      <w:pPr>
        <w:pStyle w:val="10"/>
        <w:autoSpaceDE/>
        <w:autoSpaceDN/>
        <w:spacing w:before="0" w:beforeAutospacing="0" w:after="0" w:afterAutospacing="0" w:line="281" w:lineRule="auto"/>
        <w:ind w:firstLine="480" w:firstLineChars="200"/>
        <w:rPr>
          <w:rStyle w:val="14"/>
          <w:rFonts w:ascii="Times New Roman" w:hAnsi="Times New Roman" w:eastAsiaTheme="minorHAnsi"/>
          <w:szCs w:val="24"/>
          <w:lang w:val="en-US" w:bidi="ar-SA"/>
        </w:rPr>
      </w:pPr>
      <w:r>
        <w:rPr>
          <w:rStyle w:val="14"/>
          <w:rFonts w:hint="eastAsia" w:ascii="Times New Roman" w:hAnsi="Times New Roman" w:eastAsiaTheme="minorHAnsi"/>
          <w:szCs w:val="24"/>
          <w:lang w:val="en-US" w:bidi="ar-SA"/>
        </w:rPr>
        <w:t>四、主要实践教学环节</w:t>
      </w:r>
    </w:p>
    <w:p>
      <w:pPr>
        <w:pStyle w:val="6"/>
        <w:spacing w:before="52" w:line="281" w:lineRule="auto"/>
        <w:ind w:left="589"/>
      </w:pPr>
      <w:r>
        <w:t>（一）军事训练，2 周，计 2 学分。</w:t>
      </w:r>
    </w:p>
    <w:p>
      <w:pPr>
        <w:pStyle w:val="6"/>
        <w:spacing w:line="281" w:lineRule="auto"/>
      </w:pPr>
      <w:r>
        <w:t>（二）临床技能学，安排在第 1～8 学期,156 学时，计 5 学分。</w:t>
      </w:r>
    </w:p>
    <w:p>
      <w:pPr>
        <w:pStyle w:val="6"/>
        <w:spacing w:before="52" w:line="281" w:lineRule="auto"/>
      </w:pPr>
      <w:r>
        <w:t>（三）毕业实习，安排在第 8～10 学期，52 周，计 48 学分。</w:t>
      </w:r>
    </w:p>
    <w:p>
      <w:pPr>
        <w:pStyle w:val="6"/>
        <w:spacing w:line="281" w:lineRule="auto"/>
      </w:pPr>
      <w:r>
        <w:t>（四）社会实践（含公益劳动），2 周，计 2 学分。</w:t>
      </w:r>
    </w:p>
    <w:p>
      <w:pPr>
        <w:pStyle w:val="6"/>
        <w:spacing w:before="52" w:line="281" w:lineRule="auto"/>
      </w:pPr>
      <w:r>
        <w:t>（五）创新创业素质拓展，3 学分。</w:t>
      </w:r>
    </w:p>
    <w:p>
      <w:pPr>
        <w:pStyle w:val="16"/>
        <w:numPr>
          <w:ilvl w:val="0"/>
          <w:numId w:val="5"/>
        </w:numPr>
        <w:tabs>
          <w:tab w:val="left" w:pos="840"/>
        </w:tabs>
        <w:spacing w:line="281" w:lineRule="auto"/>
        <w:ind w:right="305" w:firstLine="480"/>
        <w:rPr>
          <w:sz w:val="24"/>
        </w:rPr>
      </w:pPr>
      <w:r>
        <w:rPr>
          <w:spacing w:val="-1"/>
          <w:sz w:val="24"/>
        </w:rPr>
        <w:t>主持并完成“大学生创新创业训练计划项目”或“未来学术之星”等科研项目</w:t>
      </w:r>
      <w:r>
        <w:rPr>
          <w:spacing w:val="-13"/>
          <w:sz w:val="24"/>
        </w:rPr>
        <w:t xml:space="preserve">的，每项 </w:t>
      </w:r>
      <w:r>
        <w:rPr>
          <w:sz w:val="24"/>
        </w:rPr>
        <w:t>3</w:t>
      </w:r>
      <w:r>
        <w:rPr>
          <w:spacing w:val="-12"/>
          <w:sz w:val="24"/>
        </w:rPr>
        <w:t xml:space="preserve"> 学分；参与以上项目的，每项 </w:t>
      </w:r>
      <w:r>
        <w:rPr>
          <w:sz w:val="24"/>
        </w:rPr>
        <w:t>1.5</w:t>
      </w:r>
      <w:r>
        <w:rPr>
          <w:spacing w:val="-15"/>
          <w:sz w:val="24"/>
        </w:rPr>
        <w:t xml:space="preserve"> 学分；</w:t>
      </w:r>
    </w:p>
    <w:p>
      <w:pPr>
        <w:pStyle w:val="16"/>
        <w:numPr>
          <w:ilvl w:val="0"/>
          <w:numId w:val="5"/>
        </w:numPr>
        <w:tabs>
          <w:tab w:val="left" w:pos="840"/>
        </w:tabs>
        <w:spacing w:line="281" w:lineRule="auto"/>
        <w:ind w:right="305" w:firstLine="480"/>
        <w:rPr>
          <w:spacing w:val="-1"/>
          <w:sz w:val="24"/>
        </w:rPr>
      </w:pPr>
      <w:r>
        <w:rPr>
          <w:spacing w:val="-1"/>
          <w:sz w:val="24"/>
        </w:rPr>
        <w:t>主持“互联网+”大学生创新创业大赛项目，报名成功并进入校级比赛的，每项3 学分；参与该项目的，每项 1.5 学分；</w:t>
      </w:r>
    </w:p>
    <w:p>
      <w:pPr>
        <w:pStyle w:val="16"/>
        <w:numPr>
          <w:ilvl w:val="0"/>
          <w:numId w:val="5"/>
        </w:numPr>
        <w:tabs>
          <w:tab w:val="left" w:pos="840"/>
        </w:tabs>
        <w:spacing w:line="281" w:lineRule="auto"/>
        <w:ind w:right="244" w:firstLine="480"/>
        <w:jc w:val="both"/>
        <w:rPr>
          <w:sz w:val="24"/>
        </w:rPr>
      </w:pPr>
      <w:r>
        <w:rPr>
          <w:sz w:val="24"/>
        </w:rPr>
        <w:t>符合《广西医科大学本科生课外素质教育奖励学分实施管理办法（2017</w:t>
      </w:r>
      <w:r>
        <w:rPr>
          <w:spacing w:val="-40"/>
          <w:sz w:val="24"/>
        </w:rPr>
        <w:t xml:space="preserve"> 年 </w:t>
      </w:r>
      <w:r>
        <w:rPr>
          <w:sz w:val="24"/>
        </w:rPr>
        <w:t>9</w:t>
      </w:r>
      <w:r>
        <w:rPr>
          <w:spacing w:val="-38"/>
          <w:sz w:val="24"/>
        </w:rPr>
        <w:t xml:space="preserve"> 月</w:t>
      </w:r>
      <w:r>
        <w:rPr>
          <w:sz w:val="24"/>
        </w:rPr>
        <w:t>修订）》（桂医大教〔2017〕69</w:t>
      </w:r>
      <w:r>
        <w:rPr>
          <w:spacing w:val="-30"/>
          <w:sz w:val="24"/>
        </w:rPr>
        <w:t xml:space="preserve"> 号</w:t>
      </w:r>
      <w:r>
        <w:rPr>
          <w:sz w:val="24"/>
        </w:rPr>
        <w:t>）</w:t>
      </w:r>
      <w:r>
        <w:rPr>
          <w:spacing w:val="-1"/>
          <w:sz w:val="24"/>
        </w:rPr>
        <w:t>文件中学分奖励条件，获得的奖励学分可作为创</w:t>
      </w:r>
      <w:r>
        <w:rPr>
          <w:sz w:val="24"/>
        </w:rPr>
        <w:t>新创业素质拓展学分（文件中第三类别：创新创业训练奖励学分除外）。</w:t>
      </w:r>
    </w:p>
    <w:p>
      <w:pPr>
        <w:pStyle w:val="6"/>
        <w:spacing w:before="0" w:line="281" w:lineRule="auto"/>
        <w:ind w:left="118" w:right="305" w:firstLine="480"/>
      </w:pPr>
      <w:r>
        <w:t>（六）硕士阶段：按照硕士专业学位研究生培养（具体方案见《广西医科大学专业学位硕士培养方案总则》）。</w:t>
      </w:r>
    </w:p>
    <w:p>
      <w:pPr>
        <w:pStyle w:val="10"/>
        <w:autoSpaceDE/>
        <w:autoSpaceDN/>
        <w:spacing w:before="0" w:beforeAutospacing="0" w:after="0" w:afterAutospacing="0" w:line="281" w:lineRule="auto"/>
        <w:ind w:firstLine="480" w:firstLineChars="200"/>
        <w:rPr>
          <w:rStyle w:val="14"/>
          <w:rFonts w:ascii="Times New Roman" w:hAnsi="Times New Roman" w:eastAsiaTheme="minorHAnsi"/>
          <w:szCs w:val="24"/>
          <w:lang w:val="en-US" w:bidi="ar-SA"/>
        </w:rPr>
      </w:pPr>
      <w:r>
        <w:rPr>
          <w:rStyle w:val="14"/>
          <w:rFonts w:hint="eastAsia" w:ascii="Times New Roman" w:hAnsi="Times New Roman" w:eastAsiaTheme="minorHAnsi"/>
          <w:szCs w:val="24"/>
          <w:lang w:val="en-US" w:bidi="ar-SA"/>
        </w:rPr>
        <w:t>五、本科阶段课程设置</w:t>
      </w:r>
    </w:p>
    <w:p>
      <w:pPr>
        <w:pStyle w:val="6"/>
        <w:spacing w:before="67" w:line="281" w:lineRule="auto"/>
        <w:ind w:left="838"/>
      </w:pPr>
      <w:r>
        <w:t xml:space="preserve">(一)必修课程：共 </w:t>
      </w:r>
      <w:r>
        <w:rPr>
          <w:rFonts w:hint="eastAsia"/>
          <w:lang w:val="en-US"/>
        </w:rPr>
        <w:t>52</w:t>
      </w:r>
      <w:r>
        <w:t>门、</w:t>
      </w:r>
      <w:r>
        <w:rPr>
          <w:rFonts w:hint="eastAsia"/>
          <w:lang w:val="en-US"/>
        </w:rPr>
        <w:t>3242</w:t>
      </w:r>
      <w:r>
        <w:t>学时、</w:t>
      </w:r>
      <w:r>
        <w:rPr>
          <w:rFonts w:hint="eastAsia"/>
          <w:lang w:val="en-US"/>
        </w:rPr>
        <w:t>158</w:t>
      </w:r>
      <w:r>
        <w:rPr>
          <w:rFonts w:hint="eastAsia"/>
          <w:lang w:val="en-US" w:eastAsia="zh-CN"/>
        </w:rPr>
        <w:t>.5</w:t>
      </w:r>
      <w:r>
        <w:t>学分，详见教学进程表。</w:t>
      </w:r>
    </w:p>
    <w:p>
      <w:pPr>
        <w:pStyle w:val="6"/>
        <w:spacing w:before="52" w:line="281" w:lineRule="auto"/>
        <w:ind w:left="838"/>
      </w:pPr>
      <w:r>
        <w:t>(二)限选课程：</w:t>
      </w:r>
      <w:r>
        <w:rPr>
          <w:rFonts w:hint="eastAsia"/>
          <w:lang w:val="en-US"/>
        </w:rPr>
        <w:t>22</w:t>
      </w:r>
      <w:r>
        <w:t>.5 学分。</w:t>
      </w:r>
    </w:p>
    <w:p>
      <w:pPr>
        <w:pStyle w:val="6"/>
        <w:spacing w:line="281" w:lineRule="auto"/>
        <w:ind w:left="838"/>
      </w:pPr>
      <w:r>
        <w:t>(三)任选课：20 学分。</w:t>
      </w:r>
    </w:p>
    <w:p>
      <w:pPr>
        <w:pStyle w:val="6"/>
        <w:spacing w:before="47" w:line="281" w:lineRule="auto"/>
        <w:ind w:left="478"/>
        <w:jc w:val="both"/>
      </w:pPr>
      <w:r>
        <w:rPr>
          <w:rFonts w:ascii="宋体" w:hAnsi="宋体" w:eastAsia="宋体" w:cs="宋体"/>
          <w:sz w:val="24"/>
          <w:szCs w:val="24"/>
        </w:rPr>
        <w:t>公共艺术类课程须修读2学分</w:t>
      </w:r>
      <w:r>
        <w:rPr>
          <w:rFonts w:hint="eastAsia" w:ascii="宋体" w:hAnsi="宋体" w:cs="宋体"/>
          <w:sz w:val="24"/>
          <w:szCs w:val="24"/>
          <w:lang w:val="en-US" w:eastAsia="zh-CN"/>
        </w:rPr>
        <w:t>及</w:t>
      </w:r>
      <w:r>
        <w:rPr>
          <w:rFonts w:ascii="宋体" w:hAnsi="宋体" w:eastAsia="宋体" w:cs="宋体"/>
          <w:sz w:val="24"/>
          <w:szCs w:val="24"/>
        </w:rPr>
        <w:t>以上。</w:t>
      </w:r>
      <w:r>
        <w:drawing>
          <wp:anchor distT="0" distB="0" distL="0" distR="0" simplePos="0" relativeHeight="251659264" behindDoc="1" locked="0" layoutInCell="1" allowOverlap="1">
            <wp:simplePos x="0" y="0"/>
            <wp:positionH relativeFrom="page">
              <wp:posOffset>5972175</wp:posOffset>
            </wp:positionH>
            <wp:positionV relativeFrom="paragraph">
              <wp:posOffset>519430</wp:posOffset>
            </wp:positionV>
            <wp:extent cx="66675" cy="117475"/>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pic:cNvPicPr>
                  </pic:nvPicPr>
                  <pic:blipFill>
                    <a:blip r:embed="rId6" cstate="print"/>
                    <a:stretch>
                      <a:fillRect/>
                    </a:stretch>
                  </pic:blipFill>
                  <pic:spPr>
                    <a:xfrm>
                      <a:off x="0" y="0"/>
                      <a:ext cx="66675" cy="117475"/>
                    </a:xfrm>
                    <a:prstGeom prst="rect">
                      <a:avLst/>
                    </a:prstGeom>
                  </pic:spPr>
                </pic:pic>
              </a:graphicData>
            </a:graphic>
          </wp:anchor>
        </w:drawing>
      </w:r>
      <w:r>
        <w:rPr>
          <w:spacing w:val="3"/>
        </w:rPr>
        <w:t>参加《普通话》任选课学习并通过考试或自行参加普通话水平测试分数达二级乙等（80</w:t>
      </w:r>
      <w:r>
        <w:rPr>
          <w:spacing w:val="-9"/>
        </w:rPr>
        <w:t xml:space="preserve"> 分</w:t>
      </w:r>
      <w:r>
        <w:t>）</w:t>
      </w:r>
      <w:r>
        <w:rPr>
          <w:spacing w:val="-3"/>
        </w:rPr>
        <w:t xml:space="preserve">及以上，可计 </w:t>
      </w:r>
      <w:r>
        <w:t>1</w:t>
      </w:r>
      <w:r>
        <w:rPr>
          <w:spacing w:val="-5"/>
        </w:rPr>
        <w:t xml:space="preserve"> 学分；根据《广西医科大学本科生课外素质教育奖励学分</w:t>
      </w:r>
      <w:r>
        <w:rPr>
          <w:spacing w:val="-2"/>
        </w:rPr>
        <w:t>管理办法》，奖励学分可作为任选课学分记载，但不得超过任选课学分的</w:t>
      </w:r>
      <w:r>
        <w:rPr>
          <w:rFonts w:hint="eastAsia"/>
          <w:spacing w:val="-2"/>
          <w:lang w:val="en-US" w:eastAsia="zh-CN"/>
        </w:rPr>
        <w:t>50%</w:t>
      </w:r>
      <w:r>
        <w:t>。</w:t>
      </w:r>
    </w:p>
    <w:p>
      <w:pPr>
        <w:pStyle w:val="6"/>
        <w:spacing w:before="67" w:line="281" w:lineRule="auto"/>
        <w:ind w:left="838"/>
      </w:pPr>
      <w:r>
        <w:t>（四）毕业实习（52周、48学分）</w:t>
      </w:r>
    </w:p>
    <w:p>
      <w:pPr>
        <w:pStyle w:val="6"/>
        <w:spacing w:before="67" w:line="281" w:lineRule="auto"/>
        <w:ind w:left="838"/>
      </w:pPr>
      <w:r>
        <w:rPr>
          <w:rFonts w:hint="eastAsia"/>
          <w:lang w:val="en-US"/>
        </w:rPr>
        <w:t>1.</w:t>
      </w:r>
      <w:r>
        <w:t>必修实习科目（共10</w:t>
      </w:r>
      <w:r>
        <w:rPr>
          <w:rFonts w:hint="eastAsia"/>
          <w:lang w:val="en-US"/>
        </w:rPr>
        <w:t xml:space="preserve"> </w:t>
      </w:r>
      <w:r>
        <w:t>门、47</w:t>
      </w:r>
      <w:r>
        <w:rPr>
          <w:rFonts w:hint="eastAsia"/>
          <w:lang w:val="en-US"/>
        </w:rPr>
        <w:t xml:space="preserve"> </w:t>
      </w:r>
      <w:r>
        <w:t>周、47</w:t>
      </w:r>
      <w:r>
        <w:rPr>
          <w:rFonts w:hint="eastAsia"/>
          <w:lang w:val="en-US"/>
        </w:rPr>
        <w:t xml:space="preserve"> </w:t>
      </w:r>
      <w:r>
        <w:t>学分）</w:t>
      </w:r>
    </w:p>
    <w:tbl>
      <w:tblPr>
        <w:tblStyle w:val="12"/>
        <w:tblW w:w="9207" w:type="dxa"/>
        <w:jc w:val="center"/>
        <w:tblLayout w:type="fixed"/>
        <w:tblCellMar>
          <w:top w:w="0" w:type="dxa"/>
          <w:left w:w="0" w:type="dxa"/>
          <w:bottom w:w="0" w:type="dxa"/>
          <w:right w:w="0" w:type="dxa"/>
        </w:tblCellMar>
      </w:tblPr>
      <w:tblGrid>
        <w:gridCol w:w="2131"/>
        <w:gridCol w:w="1103"/>
        <w:gridCol w:w="1742"/>
        <w:gridCol w:w="2310"/>
        <w:gridCol w:w="910"/>
        <w:gridCol w:w="1011"/>
      </w:tblGrid>
      <w:tr>
        <w:tblPrEx>
          <w:tblCellMar>
            <w:top w:w="0" w:type="dxa"/>
            <w:left w:w="0" w:type="dxa"/>
            <w:bottom w:w="0" w:type="dxa"/>
            <w:right w:w="0" w:type="dxa"/>
          </w:tblCellMar>
        </w:tblPrEx>
        <w:trPr>
          <w:trHeight w:val="270" w:hRule="atLeast"/>
          <w:jc w:val="center"/>
        </w:trPr>
        <w:tc>
          <w:tcPr>
            <w:tcW w:w="2131" w:type="dxa"/>
            <w:tcBorders>
              <w:top w:val="single" w:color="000000" w:sz="4" w:space="0"/>
              <w:bottom w:val="single" w:color="000000" w:sz="4" w:space="0"/>
            </w:tcBorders>
          </w:tcPr>
          <w:p>
            <w:pPr>
              <w:pStyle w:val="17"/>
              <w:spacing w:before="1" w:line="250" w:lineRule="exact"/>
              <w:ind w:left="122"/>
              <w:rPr>
                <w:sz w:val="21"/>
              </w:rPr>
            </w:pPr>
            <w:r>
              <w:rPr>
                <w:sz w:val="21"/>
              </w:rPr>
              <w:t>科目名称</w:t>
            </w:r>
          </w:p>
        </w:tc>
        <w:tc>
          <w:tcPr>
            <w:tcW w:w="1103" w:type="dxa"/>
            <w:tcBorders>
              <w:top w:val="single" w:color="000000" w:sz="4" w:space="0"/>
              <w:bottom w:val="single" w:color="000000" w:sz="4" w:space="0"/>
            </w:tcBorders>
          </w:tcPr>
          <w:p>
            <w:pPr>
              <w:pStyle w:val="17"/>
              <w:spacing w:before="1" w:line="250" w:lineRule="exact"/>
              <w:ind w:right="300"/>
              <w:jc w:val="right"/>
              <w:rPr>
                <w:sz w:val="21"/>
              </w:rPr>
            </w:pPr>
            <w:r>
              <w:rPr>
                <w:sz w:val="21"/>
              </w:rPr>
              <w:t>周</w:t>
            </w:r>
          </w:p>
        </w:tc>
        <w:tc>
          <w:tcPr>
            <w:tcW w:w="1742" w:type="dxa"/>
            <w:tcBorders>
              <w:top w:val="single" w:color="000000" w:sz="4" w:space="0"/>
              <w:bottom w:val="single" w:color="000000" w:sz="4" w:space="0"/>
            </w:tcBorders>
          </w:tcPr>
          <w:p>
            <w:pPr>
              <w:pStyle w:val="17"/>
              <w:spacing w:before="1" w:line="250" w:lineRule="exact"/>
              <w:ind w:left="285" w:right="885"/>
              <w:jc w:val="center"/>
              <w:rPr>
                <w:sz w:val="21"/>
              </w:rPr>
            </w:pPr>
            <w:r>
              <w:rPr>
                <w:sz w:val="21"/>
              </w:rPr>
              <w:t>学分</w:t>
            </w:r>
          </w:p>
        </w:tc>
        <w:tc>
          <w:tcPr>
            <w:tcW w:w="2310" w:type="dxa"/>
            <w:tcBorders>
              <w:top w:val="single" w:color="000000" w:sz="4" w:space="0"/>
              <w:bottom w:val="single" w:color="000000" w:sz="4" w:space="0"/>
            </w:tcBorders>
          </w:tcPr>
          <w:p>
            <w:pPr>
              <w:pStyle w:val="17"/>
              <w:spacing w:before="1" w:line="250" w:lineRule="exact"/>
              <w:rPr>
                <w:sz w:val="21"/>
              </w:rPr>
            </w:pPr>
            <w:r>
              <w:rPr>
                <w:sz w:val="21"/>
              </w:rPr>
              <w:t>科目名称</w:t>
            </w:r>
          </w:p>
        </w:tc>
        <w:tc>
          <w:tcPr>
            <w:tcW w:w="910" w:type="dxa"/>
            <w:tcBorders>
              <w:top w:val="single" w:color="000000" w:sz="4" w:space="0"/>
              <w:bottom w:val="single" w:color="000000" w:sz="4" w:space="0"/>
            </w:tcBorders>
          </w:tcPr>
          <w:p>
            <w:pPr>
              <w:pStyle w:val="17"/>
              <w:spacing w:before="1" w:line="250" w:lineRule="exact"/>
              <w:ind w:right="370"/>
              <w:jc w:val="right"/>
              <w:rPr>
                <w:sz w:val="21"/>
              </w:rPr>
            </w:pPr>
            <w:r>
              <w:rPr>
                <w:sz w:val="21"/>
              </w:rPr>
              <w:t>周</w:t>
            </w:r>
          </w:p>
        </w:tc>
        <w:tc>
          <w:tcPr>
            <w:tcW w:w="1011" w:type="dxa"/>
            <w:tcBorders>
              <w:top w:val="single" w:color="000000" w:sz="4" w:space="0"/>
              <w:bottom w:val="single" w:color="000000" w:sz="4" w:space="0"/>
            </w:tcBorders>
          </w:tcPr>
          <w:p>
            <w:pPr>
              <w:pStyle w:val="17"/>
              <w:spacing w:before="1" w:line="250" w:lineRule="exact"/>
              <w:ind w:left="351" w:right="196"/>
              <w:jc w:val="center"/>
              <w:rPr>
                <w:sz w:val="21"/>
              </w:rPr>
            </w:pPr>
            <w:r>
              <w:rPr>
                <w:sz w:val="21"/>
              </w:rPr>
              <w:t>学分</w:t>
            </w:r>
          </w:p>
        </w:tc>
      </w:tr>
      <w:tr>
        <w:tblPrEx>
          <w:tblCellMar>
            <w:top w:w="0" w:type="dxa"/>
            <w:left w:w="0" w:type="dxa"/>
            <w:bottom w:w="0" w:type="dxa"/>
            <w:right w:w="0" w:type="dxa"/>
          </w:tblCellMar>
        </w:tblPrEx>
        <w:trPr>
          <w:trHeight w:val="273" w:hRule="atLeast"/>
          <w:jc w:val="center"/>
        </w:trPr>
        <w:tc>
          <w:tcPr>
            <w:tcW w:w="2131" w:type="dxa"/>
            <w:tcBorders>
              <w:top w:val="single" w:color="000000" w:sz="4" w:space="0"/>
            </w:tcBorders>
          </w:tcPr>
          <w:p>
            <w:pPr>
              <w:pStyle w:val="17"/>
              <w:spacing w:before="3" w:line="250" w:lineRule="exact"/>
              <w:ind w:left="122"/>
              <w:rPr>
                <w:color w:val="auto"/>
                <w:sz w:val="21"/>
              </w:rPr>
            </w:pPr>
            <w:r>
              <w:rPr>
                <w:color w:val="auto"/>
                <w:sz w:val="21"/>
              </w:rPr>
              <w:t>内科</w:t>
            </w:r>
          </w:p>
        </w:tc>
        <w:tc>
          <w:tcPr>
            <w:tcW w:w="1103" w:type="dxa"/>
            <w:tcBorders>
              <w:top w:val="single" w:color="000000" w:sz="4" w:space="0"/>
            </w:tcBorders>
          </w:tcPr>
          <w:p>
            <w:pPr>
              <w:pStyle w:val="17"/>
              <w:spacing w:before="3" w:line="250" w:lineRule="exact"/>
              <w:ind w:right="300"/>
              <w:jc w:val="right"/>
              <w:rPr>
                <w:sz w:val="21"/>
              </w:rPr>
            </w:pPr>
            <w:r>
              <w:rPr>
                <w:sz w:val="21"/>
              </w:rPr>
              <w:t>13</w:t>
            </w:r>
          </w:p>
        </w:tc>
        <w:tc>
          <w:tcPr>
            <w:tcW w:w="1742" w:type="dxa"/>
            <w:tcBorders>
              <w:top w:val="single" w:color="000000" w:sz="4" w:space="0"/>
            </w:tcBorders>
          </w:tcPr>
          <w:p>
            <w:pPr>
              <w:pStyle w:val="17"/>
              <w:spacing w:before="3" w:line="250" w:lineRule="exact"/>
              <w:ind w:left="281" w:right="885"/>
              <w:jc w:val="center"/>
              <w:rPr>
                <w:sz w:val="21"/>
              </w:rPr>
            </w:pPr>
            <w:r>
              <w:rPr>
                <w:sz w:val="21"/>
              </w:rPr>
              <w:t>13</w:t>
            </w:r>
          </w:p>
        </w:tc>
        <w:tc>
          <w:tcPr>
            <w:tcW w:w="2310" w:type="dxa"/>
            <w:tcBorders>
              <w:top w:val="single" w:color="000000" w:sz="4" w:space="0"/>
            </w:tcBorders>
          </w:tcPr>
          <w:p>
            <w:pPr>
              <w:pStyle w:val="17"/>
              <w:spacing w:before="3" w:line="250" w:lineRule="exact"/>
              <w:rPr>
                <w:sz w:val="21"/>
              </w:rPr>
            </w:pPr>
            <w:r>
              <w:rPr>
                <w:sz w:val="21"/>
              </w:rPr>
              <w:t>外科</w:t>
            </w:r>
          </w:p>
        </w:tc>
        <w:tc>
          <w:tcPr>
            <w:tcW w:w="910" w:type="dxa"/>
            <w:tcBorders>
              <w:top w:val="single" w:color="000000" w:sz="4" w:space="0"/>
            </w:tcBorders>
          </w:tcPr>
          <w:p>
            <w:pPr>
              <w:pStyle w:val="17"/>
              <w:spacing w:before="3" w:line="250" w:lineRule="exact"/>
              <w:ind w:right="370"/>
              <w:jc w:val="right"/>
              <w:rPr>
                <w:sz w:val="21"/>
              </w:rPr>
            </w:pPr>
            <w:r>
              <w:rPr>
                <w:sz w:val="21"/>
              </w:rPr>
              <w:t>12</w:t>
            </w:r>
          </w:p>
        </w:tc>
        <w:tc>
          <w:tcPr>
            <w:tcW w:w="1011" w:type="dxa"/>
            <w:tcBorders>
              <w:top w:val="single" w:color="000000" w:sz="4" w:space="0"/>
            </w:tcBorders>
          </w:tcPr>
          <w:p>
            <w:pPr>
              <w:pStyle w:val="17"/>
              <w:spacing w:before="3" w:line="250" w:lineRule="exact"/>
              <w:ind w:left="351" w:right="196"/>
              <w:jc w:val="center"/>
              <w:rPr>
                <w:sz w:val="21"/>
              </w:rPr>
            </w:pPr>
            <w:r>
              <w:rPr>
                <w:sz w:val="21"/>
              </w:rPr>
              <w:t>12</w:t>
            </w:r>
          </w:p>
        </w:tc>
      </w:tr>
      <w:tr>
        <w:tblPrEx>
          <w:tblCellMar>
            <w:top w:w="0" w:type="dxa"/>
            <w:left w:w="0" w:type="dxa"/>
            <w:bottom w:w="0" w:type="dxa"/>
            <w:right w:w="0" w:type="dxa"/>
          </w:tblCellMar>
        </w:tblPrEx>
        <w:trPr>
          <w:trHeight w:val="273" w:hRule="atLeast"/>
          <w:jc w:val="center"/>
        </w:trPr>
        <w:tc>
          <w:tcPr>
            <w:tcW w:w="2131" w:type="dxa"/>
            <w:tcBorders>
              <w:top w:val="single" w:color="000000" w:sz="4" w:space="0"/>
            </w:tcBorders>
          </w:tcPr>
          <w:p>
            <w:pPr>
              <w:pStyle w:val="17"/>
              <w:spacing w:before="3" w:line="250" w:lineRule="exact"/>
              <w:ind w:left="122"/>
              <w:rPr>
                <w:color w:val="auto"/>
                <w:sz w:val="21"/>
                <w:lang w:val="en-US"/>
              </w:rPr>
            </w:pPr>
            <w:r>
              <w:rPr>
                <w:rFonts w:hint="eastAsia"/>
                <w:color w:val="auto"/>
                <w:sz w:val="21"/>
                <w:lang w:val="en-US"/>
              </w:rPr>
              <w:t xml:space="preserve">    </w:t>
            </w:r>
            <w:r>
              <w:rPr>
                <w:rStyle w:val="14"/>
                <w:rFonts w:hint="eastAsia"/>
                <w:b w:val="0"/>
                <w:color w:val="auto"/>
                <w:sz w:val="24"/>
                <w:lang w:val="en-US"/>
              </w:rPr>
              <w:t>心血管内科</w:t>
            </w:r>
          </w:p>
        </w:tc>
        <w:tc>
          <w:tcPr>
            <w:tcW w:w="1103" w:type="dxa"/>
            <w:tcBorders>
              <w:top w:val="single" w:color="000000" w:sz="4" w:space="0"/>
            </w:tcBorders>
          </w:tcPr>
          <w:p>
            <w:pPr>
              <w:pStyle w:val="17"/>
              <w:spacing w:before="3" w:line="250" w:lineRule="exact"/>
              <w:ind w:right="300"/>
              <w:jc w:val="right"/>
              <w:rPr>
                <w:sz w:val="21"/>
                <w:lang w:val="en-US"/>
              </w:rPr>
            </w:pPr>
            <w:r>
              <w:rPr>
                <w:rFonts w:hint="eastAsia"/>
                <w:sz w:val="21"/>
                <w:lang w:val="en-US"/>
              </w:rPr>
              <w:t>3</w:t>
            </w:r>
          </w:p>
        </w:tc>
        <w:tc>
          <w:tcPr>
            <w:tcW w:w="1742" w:type="dxa"/>
            <w:tcBorders>
              <w:top w:val="single" w:color="000000" w:sz="4" w:space="0"/>
            </w:tcBorders>
          </w:tcPr>
          <w:p>
            <w:pPr>
              <w:pStyle w:val="17"/>
              <w:spacing w:before="3" w:line="250" w:lineRule="exact"/>
              <w:ind w:left="281" w:right="885"/>
              <w:jc w:val="center"/>
              <w:rPr>
                <w:sz w:val="21"/>
                <w:lang w:val="en-US"/>
              </w:rPr>
            </w:pPr>
            <w:r>
              <w:rPr>
                <w:rFonts w:hint="eastAsia"/>
                <w:sz w:val="21"/>
                <w:lang w:val="en-US"/>
              </w:rPr>
              <w:t>3</w:t>
            </w:r>
          </w:p>
        </w:tc>
        <w:tc>
          <w:tcPr>
            <w:tcW w:w="2310" w:type="dxa"/>
            <w:tcBorders>
              <w:top w:val="single" w:color="000000" w:sz="4" w:space="0"/>
            </w:tcBorders>
          </w:tcPr>
          <w:p>
            <w:pPr>
              <w:pStyle w:val="17"/>
              <w:spacing w:before="3" w:line="250" w:lineRule="exact"/>
              <w:rPr>
                <w:sz w:val="21"/>
                <w:lang w:val="en-US"/>
              </w:rPr>
            </w:pPr>
            <w:r>
              <w:rPr>
                <w:rFonts w:hint="eastAsia"/>
                <w:sz w:val="21"/>
                <w:lang w:val="en-US"/>
              </w:rPr>
              <w:t xml:space="preserve">    肝胆外科</w:t>
            </w:r>
          </w:p>
        </w:tc>
        <w:tc>
          <w:tcPr>
            <w:tcW w:w="910" w:type="dxa"/>
            <w:tcBorders>
              <w:top w:val="single" w:color="000000" w:sz="4" w:space="0"/>
            </w:tcBorders>
          </w:tcPr>
          <w:p>
            <w:pPr>
              <w:pStyle w:val="17"/>
              <w:spacing w:before="3" w:line="250" w:lineRule="exact"/>
              <w:ind w:right="370"/>
              <w:jc w:val="right"/>
              <w:rPr>
                <w:sz w:val="21"/>
                <w:lang w:val="en-US"/>
              </w:rPr>
            </w:pPr>
            <w:r>
              <w:rPr>
                <w:rFonts w:hint="eastAsia"/>
                <w:sz w:val="21"/>
                <w:lang w:val="en-US"/>
              </w:rPr>
              <w:t>2</w:t>
            </w:r>
          </w:p>
        </w:tc>
        <w:tc>
          <w:tcPr>
            <w:tcW w:w="1011" w:type="dxa"/>
            <w:tcBorders>
              <w:top w:val="single" w:color="000000" w:sz="4" w:space="0"/>
            </w:tcBorders>
          </w:tcPr>
          <w:p>
            <w:pPr>
              <w:pStyle w:val="17"/>
              <w:spacing w:before="3" w:line="250" w:lineRule="exact"/>
              <w:ind w:left="351" w:right="196"/>
              <w:jc w:val="center"/>
              <w:rPr>
                <w:sz w:val="21"/>
                <w:lang w:val="en-US"/>
              </w:rPr>
            </w:pPr>
            <w:r>
              <w:rPr>
                <w:rFonts w:hint="eastAsia"/>
                <w:sz w:val="21"/>
                <w:lang w:val="en-US"/>
              </w:rPr>
              <w:t>2</w:t>
            </w:r>
          </w:p>
        </w:tc>
      </w:tr>
      <w:tr>
        <w:tblPrEx>
          <w:tblCellMar>
            <w:top w:w="0" w:type="dxa"/>
            <w:left w:w="0" w:type="dxa"/>
            <w:bottom w:w="0" w:type="dxa"/>
            <w:right w:w="0" w:type="dxa"/>
          </w:tblCellMar>
        </w:tblPrEx>
        <w:trPr>
          <w:trHeight w:val="273" w:hRule="atLeast"/>
          <w:jc w:val="center"/>
        </w:trPr>
        <w:tc>
          <w:tcPr>
            <w:tcW w:w="2131" w:type="dxa"/>
            <w:tcBorders>
              <w:top w:val="single" w:color="000000" w:sz="4" w:space="0"/>
            </w:tcBorders>
          </w:tcPr>
          <w:p>
            <w:pPr>
              <w:pStyle w:val="17"/>
              <w:spacing w:before="3" w:line="250" w:lineRule="exact"/>
              <w:ind w:left="122"/>
              <w:rPr>
                <w:color w:val="auto"/>
                <w:sz w:val="21"/>
                <w:lang w:val="en-US"/>
              </w:rPr>
            </w:pPr>
            <w:r>
              <w:rPr>
                <w:rFonts w:hint="eastAsia"/>
                <w:color w:val="auto"/>
                <w:sz w:val="21"/>
                <w:lang w:val="en-US"/>
              </w:rPr>
              <w:t xml:space="preserve">    </w:t>
            </w:r>
            <w:r>
              <w:rPr>
                <w:rStyle w:val="14"/>
                <w:rFonts w:hint="eastAsia"/>
                <w:b w:val="0"/>
                <w:color w:val="auto"/>
                <w:sz w:val="24"/>
                <w:lang w:val="en-US"/>
              </w:rPr>
              <w:t>消化内科</w:t>
            </w:r>
          </w:p>
        </w:tc>
        <w:tc>
          <w:tcPr>
            <w:tcW w:w="1103" w:type="dxa"/>
            <w:tcBorders>
              <w:top w:val="single" w:color="000000" w:sz="4" w:space="0"/>
            </w:tcBorders>
          </w:tcPr>
          <w:p>
            <w:pPr>
              <w:pStyle w:val="17"/>
              <w:spacing w:before="3" w:line="250" w:lineRule="exact"/>
              <w:ind w:right="300"/>
              <w:jc w:val="right"/>
              <w:rPr>
                <w:sz w:val="21"/>
                <w:lang w:val="en-US"/>
              </w:rPr>
            </w:pPr>
            <w:r>
              <w:rPr>
                <w:rFonts w:hint="eastAsia"/>
                <w:sz w:val="21"/>
                <w:lang w:val="en-US"/>
              </w:rPr>
              <w:t>3</w:t>
            </w:r>
          </w:p>
        </w:tc>
        <w:tc>
          <w:tcPr>
            <w:tcW w:w="1742" w:type="dxa"/>
            <w:tcBorders>
              <w:top w:val="single" w:color="000000" w:sz="4" w:space="0"/>
            </w:tcBorders>
          </w:tcPr>
          <w:p>
            <w:pPr>
              <w:pStyle w:val="17"/>
              <w:spacing w:before="3" w:line="250" w:lineRule="exact"/>
              <w:ind w:left="281" w:right="885"/>
              <w:jc w:val="center"/>
              <w:rPr>
                <w:sz w:val="21"/>
                <w:lang w:val="en-US"/>
              </w:rPr>
            </w:pPr>
            <w:r>
              <w:rPr>
                <w:rFonts w:hint="eastAsia"/>
                <w:sz w:val="21"/>
                <w:lang w:val="en-US"/>
              </w:rPr>
              <w:t>3</w:t>
            </w:r>
          </w:p>
        </w:tc>
        <w:tc>
          <w:tcPr>
            <w:tcW w:w="2310" w:type="dxa"/>
            <w:tcBorders>
              <w:top w:val="single" w:color="000000" w:sz="4" w:space="0"/>
            </w:tcBorders>
          </w:tcPr>
          <w:p>
            <w:pPr>
              <w:pStyle w:val="17"/>
              <w:spacing w:before="3" w:line="250" w:lineRule="exact"/>
              <w:ind w:firstLine="420" w:firstLineChars="200"/>
              <w:rPr>
                <w:sz w:val="21"/>
                <w:lang w:val="en-US"/>
              </w:rPr>
            </w:pPr>
            <w:r>
              <w:rPr>
                <w:rFonts w:hint="eastAsia"/>
                <w:sz w:val="21"/>
                <w:lang w:val="en-US"/>
              </w:rPr>
              <w:t>胃肠外科</w:t>
            </w:r>
          </w:p>
        </w:tc>
        <w:tc>
          <w:tcPr>
            <w:tcW w:w="910" w:type="dxa"/>
            <w:tcBorders>
              <w:top w:val="single" w:color="000000" w:sz="4" w:space="0"/>
            </w:tcBorders>
          </w:tcPr>
          <w:p>
            <w:pPr>
              <w:pStyle w:val="17"/>
              <w:spacing w:before="3" w:line="250" w:lineRule="exact"/>
              <w:ind w:right="370"/>
              <w:jc w:val="right"/>
              <w:rPr>
                <w:sz w:val="21"/>
                <w:lang w:val="en-US"/>
              </w:rPr>
            </w:pPr>
            <w:r>
              <w:rPr>
                <w:rFonts w:hint="eastAsia"/>
                <w:sz w:val="21"/>
                <w:lang w:val="en-US"/>
              </w:rPr>
              <w:t>2</w:t>
            </w:r>
          </w:p>
        </w:tc>
        <w:tc>
          <w:tcPr>
            <w:tcW w:w="1011" w:type="dxa"/>
            <w:tcBorders>
              <w:top w:val="single" w:color="000000" w:sz="4" w:space="0"/>
            </w:tcBorders>
          </w:tcPr>
          <w:p>
            <w:pPr>
              <w:pStyle w:val="17"/>
              <w:spacing w:before="3" w:line="250" w:lineRule="exact"/>
              <w:ind w:left="351" w:right="196"/>
              <w:jc w:val="center"/>
              <w:rPr>
                <w:sz w:val="21"/>
                <w:lang w:val="en-US"/>
              </w:rPr>
            </w:pPr>
            <w:r>
              <w:rPr>
                <w:rFonts w:hint="eastAsia"/>
                <w:sz w:val="21"/>
                <w:lang w:val="en-US"/>
              </w:rPr>
              <w:t>2</w:t>
            </w:r>
          </w:p>
        </w:tc>
      </w:tr>
      <w:tr>
        <w:tblPrEx>
          <w:tblCellMar>
            <w:top w:w="0" w:type="dxa"/>
            <w:left w:w="0" w:type="dxa"/>
            <w:bottom w:w="0" w:type="dxa"/>
            <w:right w:w="0" w:type="dxa"/>
          </w:tblCellMar>
        </w:tblPrEx>
        <w:trPr>
          <w:trHeight w:val="273" w:hRule="atLeast"/>
          <w:jc w:val="center"/>
        </w:trPr>
        <w:tc>
          <w:tcPr>
            <w:tcW w:w="2131" w:type="dxa"/>
            <w:tcBorders>
              <w:top w:val="single" w:color="000000" w:sz="4" w:space="0"/>
            </w:tcBorders>
          </w:tcPr>
          <w:p>
            <w:pPr>
              <w:pStyle w:val="17"/>
              <w:spacing w:before="3" w:line="250" w:lineRule="exact"/>
              <w:ind w:left="122"/>
              <w:rPr>
                <w:color w:val="auto"/>
                <w:sz w:val="21"/>
                <w:lang w:val="en-US"/>
              </w:rPr>
            </w:pPr>
            <w:r>
              <w:rPr>
                <w:rFonts w:hint="eastAsia"/>
                <w:color w:val="auto"/>
                <w:sz w:val="21"/>
                <w:lang w:val="en-US"/>
              </w:rPr>
              <w:t xml:space="preserve">    </w:t>
            </w:r>
            <w:r>
              <w:rPr>
                <w:rStyle w:val="14"/>
                <w:rFonts w:hint="eastAsia"/>
                <w:b w:val="0"/>
                <w:color w:val="auto"/>
                <w:sz w:val="24"/>
                <w:lang w:val="en-US"/>
              </w:rPr>
              <w:t>呼吸内科</w:t>
            </w:r>
          </w:p>
        </w:tc>
        <w:tc>
          <w:tcPr>
            <w:tcW w:w="1103" w:type="dxa"/>
            <w:tcBorders>
              <w:top w:val="single" w:color="000000" w:sz="4" w:space="0"/>
            </w:tcBorders>
          </w:tcPr>
          <w:p>
            <w:pPr>
              <w:pStyle w:val="17"/>
              <w:spacing w:before="3" w:line="250" w:lineRule="exact"/>
              <w:ind w:right="300"/>
              <w:jc w:val="right"/>
              <w:rPr>
                <w:sz w:val="21"/>
                <w:lang w:val="en-US"/>
              </w:rPr>
            </w:pPr>
            <w:r>
              <w:rPr>
                <w:rFonts w:hint="eastAsia"/>
                <w:sz w:val="21"/>
                <w:lang w:val="en-US"/>
              </w:rPr>
              <w:t>3</w:t>
            </w:r>
          </w:p>
        </w:tc>
        <w:tc>
          <w:tcPr>
            <w:tcW w:w="1742" w:type="dxa"/>
            <w:tcBorders>
              <w:top w:val="single" w:color="000000" w:sz="4" w:space="0"/>
            </w:tcBorders>
          </w:tcPr>
          <w:p>
            <w:pPr>
              <w:pStyle w:val="17"/>
              <w:spacing w:before="3" w:line="250" w:lineRule="exact"/>
              <w:ind w:left="281" w:right="885"/>
              <w:jc w:val="center"/>
              <w:rPr>
                <w:sz w:val="21"/>
                <w:lang w:val="en-US"/>
              </w:rPr>
            </w:pPr>
            <w:r>
              <w:rPr>
                <w:rFonts w:hint="eastAsia"/>
                <w:sz w:val="21"/>
                <w:lang w:val="en-US"/>
              </w:rPr>
              <w:t>3</w:t>
            </w:r>
          </w:p>
        </w:tc>
        <w:tc>
          <w:tcPr>
            <w:tcW w:w="2310" w:type="dxa"/>
            <w:tcBorders>
              <w:top w:val="single" w:color="000000" w:sz="4" w:space="0"/>
            </w:tcBorders>
          </w:tcPr>
          <w:p>
            <w:pPr>
              <w:pStyle w:val="17"/>
              <w:spacing w:before="3" w:line="250" w:lineRule="exact"/>
              <w:rPr>
                <w:sz w:val="21"/>
                <w:lang w:val="en-US"/>
              </w:rPr>
            </w:pPr>
            <w:r>
              <w:rPr>
                <w:rFonts w:hint="eastAsia"/>
                <w:sz w:val="21"/>
                <w:lang w:val="en-US"/>
              </w:rPr>
              <w:t xml:space="preserve">    其他普通外科</w:t>
            </w:r>
          </w:p>
        </w:tc>
        <w:tc>
          <w:tcPr>
            <w:tcW w:w="910" w:type="dxa"/>
            <w:tcBorders>
              <w:top w:val="single" w:color="000000" w:sz="4" w:space="0"/>
            </w:tcBorders>
          </w:tcPr>
          <w:p>
            <w:pPr>
              <w:pStyle w:val="17"/>
              <w:spacing w:before="3" w:line="250" w:lineRule="exact"/>
              <w:ind w:right="370"/>
              <w:jc w:val="right"/>
              <w:rPr>
                <w:sz w:val="21"/>
                <w:lang w:val="en-US"/>
              </w:rPr>
            </w:pPr>
            <w:r>
              <w:rPr>
                <w:rFonts w:hint="eastAsia"/>
                <w:sz w:val="21"/>
                <w:lang w:val="en-US"/>
              </w:rPr>
              <w:t>2</w:t>
            </w:r>
          </w:p>
        </w:tc>
        <w:tc>
          <w:tcPr>
            <w:tcW w:w="1011" w:type="dxa"/>
            <w:tcBorders>
              <w:top w:val="single" w:color="000000" w:sz="4" w:space="0"/>
            </w:tcBorders>
          </w:tcPr>
          <w:p>
            <w:pPr>
              <w:pStyle w:val="17"/>
              <w:spacing w:before="3" w:line="250" w:lineRule="exact"/>
              <w:ind w:left="351" w:right="196"/>
              <w:jc w:val="center"/>
              <w:rPr>
                <w:sz w:val="21"/>
                <w:lang w:val="en-US"/>
              </w:rPr>
            </w:pPr>
            <w:r>
              <w:rPr>
                <w:rFonts w:hint="eastAsia"/>
                <w:sz w:val="21"/>
                <w:lang w:val="en-US"/>
              </w:rPr>
              <w:t>2</w:t>
            </w:r>
          </w:p>
        </w:tc>
      </w:tr>
      <w:tr>
        <w:tblPrEx>
          <w:tblCellMar>
            <w:top w:w="0" w:type="dxa"/>
            <w:left w:w="0" w:type="dxa"/>
            <w:bottom w:w="0" w:type="dxa"/>
            <w:right w:w="0" w:type="dxa"/>
          </w:tblCellMar>
        </w:tblPrEx>
        <w:trPr>
          <w:trHeight w:val="273" w:hRule="atLeast"/>
          <w:jc w:val="center"/>
        </w:trPr>
        <w:tc>
          <w:tcPr>
            <w:tcW w:w="2131" w:type="dxa"/>
            <w:tcBorders>
              <w:top w:val="single" w:color="000000" w:sz="4" w:space="0"/>
            </w:tcBorders>
          </w:tcPr>
          <w:p>
            <w:pPr>
              <w:pStyle w:val="17"/>
              <w:spacing w:before="3" w:line="250" w:lineRule="exact"/>
              <w:ind w:left="122"/>
              <w:rPr>
                <w:sz w:val="21"/>
                <w:lang w:val="en-US"/>
              </w:rPr>
            </w:pPr>
            <w:r>
              <w:rPr>
                <w:rFonts w:hint="eastAsia"/>
                <w:sz w:val="21"/>
                <w:lang w:val="en-US"/>
              </w:rPr>
              <w:t xml:space="preserve">    其他内科</w:t>
            </w:r>
          </w:p>
        </w:tc>
        <w:tc>
          <w:tcPr>
            <w:tcW w:w="1103" w:type="dxa"/>
            <w:tcBorders>
              <w:top w:val="single" w:color="000000" w:sz="4" w:space="0"/>
            </w:tcBorders>
          </w:tcPr>
          <w:p>
            <w:pPr>
              <w:pStyle w:val="17"/>
              <w:spacing w:before="3" w:line="250" w:lineRule="exact"/>
              <w:ind w:right="300"/>
              <w:jc w:val="right"/>
              <w:rPr>
                <w:sz w:val="21"/>
                <w:lang w:val="en-US"/>
              </w:rPr>
            </w:pPr>
            <w:r>
              <w:rPr>
                <w:rFonts w:hint="eastAsia"/>
                <w:sz w:val="21"/>
                <w:lang w:val="en-US"/>
              </w:rPr>
              <w:t>4</w:t>
            </w:r>
          </w:p>
        </w:tc>
        <w:tc>
          <w:tcPr>
            <w:tcW w:w="1742" w:type="dxa"/>
            <w:tcBorders>
              <w:top w:val="single" w:color="000000" w:sz="4" w:space="0"/>
            </w:tcBorders>
          </w:tcPr>
          <w:p>
            <w:pPr>
              <w:pStyle w:val="17"/>
              <w:spacing w:before="3" w:line="250" w:lineRule="exact"/>
              <w:ind w:left="281" w:right="885"/>
              <w:jc w:val="center"/>
              <w:rPr>
                <w:sz w:val="21"/>
                <w:lang w:val="en-US"/>
              </w:rPr>
            </w:pPr>
            <w:r>
              <w:rPr>
                <w:rFonts w:hint="eastAsia"/>
                <w:sz w:val="21"/>
                <w:lang w:val="en-US"/>
              </w:rPr>
              <w:t>4</w:t>
            </w:r>
          </w:p>
        </w:tc>
        <w:tc>
          <w:tcPr>
            <w:tcW w:w="2310" w:type="dxa"/>
            <w:tcBorders>
              <w:top w:val="single" w:color="000000" w:sz="4" w:space="0"/>
            </w:tcBorders>
          </w:tcPr>
          <w:p>
            <w:pPr>
              <w:pStyle w:val="17"/>
              <w:spacing w:before="3" w:line="250" w:lineRule="exact"/>
              <w:ind w:firstLine="420" w:firstLineChars="200"/>
              <w:rPr>
                <w:sz w:val="21"/>
                <w:lang w:val="en-US"/>
              </w:rPr>
            </w:pPr>
            <w:r>
              <w:rPr>
                <w:rFonts w:hint="eastAsia"/>
                <w:sz w:val="21"/>
                <w:lang w:val="en-US"/>
              </w:rPr>
              <w:t>其他外科</w:t>
            </w:r>
          </w:p>
        </w:tc>
        <w:tc>
          <w:tcPr>
            <w:tcW w:w="910" w:type="dxa"/>
            <w:tcBorders>
              <w:top w:val="single" w:color="000000" w:sz="4" w:space="0"/>
            </w:tcBorders>
          </w:tcPr>
          <w:p>
            <w:pPr>
              <w:pStyle w:val="17"/>
              <w:spacing w:before="3" w:line="250" w:lineRule="exact"/>
              <w:ind w:right="370"/>
              <w:jc w:val="right"/>
              <w:rPr>
                <w:sz w:val="21"/>
                <w:lang w:val="en-US"/>
              </w:rPr>
            </w:pPr>
            <w:r>
              <w:rPr>
                <w:rFonts w:hint="eastAsia"/>
                <w:sz w:val="21"/>
                <w:lang w:val="en-US"/>
              </w:rPr>
              <w:t>6</w:t>
            </w:r>
          </w:p>
        </w:tc>
        <w:tc>
          <w:tcPr>
            <w:tcW w:w="1011" w:type="dxa"/>
            <w:tcBorders>
              <w:top w:val="single" w:color="000000" w:sz="4" w:space="0"/>
            </w:tcBorders>
          </w:tcPr>
          <w:p>
            <w:pPr>
              <w:pStyle w:val="17"/>
              <w:spacing w:before="3" w:line="250" w:lineRule="exact"/>
              <w:ind w:left="351" w:right="196"/>
              <w:jc w:val="center"/>
              <w:rPr>
                <w:sz w:val="21"/>
                <w:lang w:val="en-US"/>
              </w:rPr>
            </w:pPr>
            <w:r>
              <w:rPr>
                <w:rFonts w:hint="eastAsia"/>
                <w:sz w:val="21"/>
                <w:lang w:val="en-US"/>
              </w:rPr>
              <w:t>6</w:t>
            </w:r>
          </w:p>
        </w:tc>
      </w:tr>
      <w:tr>
        <w:tblPrEx>
          <w:tblCellMar>
            <w:top w:w="0" w:type="dxa"/>
            <w:left w:w="0" w:type="dxa"/>
            <w:bottom w:w="0" w:type="dxa"/>
            <w:right w:w="0" w:type="dxa"/>
          </w:tblCellMar>
        </w:tblPrEx>
        <w:trPr>
          <w:trHeight w:val="272" w:hRule="atLeast"/>
          <w:jc w:val="center"/>
        </w:trPr>
        <w:tc>
          <w:tcPr>
            <w:tcW w:w="2131" w:type="dxa"/>
          </w:tcPr>
          <w:p>
            <w:pPr>
              <w:pStyle w:val="17"/>
              <w:spacing w:before="1" w:line="251" w:lineRule="exact"/>
              <w:ind w:left="122"/>
              <w:rPr>
                <w:sz w:val="21"/>
              </w:rPr>
            </w:pPr>
            <w:r>
              <w:rPr>
                <w:sz w:val="21"/>
              </w:rPr>
              <w:t>妇产科</w:t>
            </w:r>
          </w:p>
        </w:tc>
        <w:tc>
          <w:tcPr>
            <w:tcW w:w="1103" w:type="dxa"/>
          </w:tcPr>
          <w:p>
            <w:pPr>
              <w:pStyle w:val="17"/>
              <w:spacing w:before="1" w:line="251" w:lineRule="exact"/>
              <w:ind w:right="352"/>
              <w:jc w:val="right"/>
              <w:rPr>
                <w:sz w:val="21"/>
              </w:rPr>
            </w:pPr>
            <w:r>
              <w:rPr>
                <w:sz w:val="21"/>
              </w:rPr>
              <w:t>6</w:t>
            </w:r>
          </w:p>
        </w:tc>
        <w:tc>
          <w:tcPr>
            <w:tcW w:w="1742" w:type="dxa"/>
          </w:tcPr>
          <w:p>
            <w:pPr>
              <w:pStyle w:val="17"/>
              <w:spacing w:before="1" w:line="251" w:lineRule="exact"/>
              <w:ind w:right="604"/>
              <w:jc w:val="center"/>
              <w:rPr>
                <w:sz w:val="21"/>
              </w:rPr>
            </w:pPr>
            <w:r>
              <w:rPr>
                <w:sz w:val="21"/>
              </w:rPr>
              <w:t>6</w:t>
            </w:r>
          </w:p>
        </w:tc>
        <w:tc>
          <w:tcPr>
            <w:tcW w:w="2310" w:type="dxa"/>
          </w:tcPr>
          <w:p>
            <w:pPr>
              <w:pStyle w:val="17"/>
              <w:spacing w:before="1" w:line="251" w:lineRule="exact"/>
              <w:rPr>
                <w:sz w:val="21"/>
              </w:rPr>
            </w:pPr>
            <w:r>
              <w:rPr>
                <w:sz w:val="21"/>
              </w:rPr>
              <w:t>儿</w:t>
            </w:r>
            <w:r>
              <w:rPr>
                <w:rFonts w:hint="eastAsia"/>
                <w:sz w:val="21"/>
                <w:lang w:val="en-US"/>
              </w:rPr>
              <w:t>内</w:t>
            </w:r>
            <w:r>
              <w:rPr>
                <w:sz w:val="21"/>
              </w:rPr>
              <w:t>科</w:t>
            </w:r>
          </w:p>
        </w:tc>
        <w:tc>
          <w:tcPr>
            <w:tcW w:w="910" w:type="dxa"/>
          </w:tcPr>
          <w:p>
            <w:pPr>
              <w:pStyle w:val="17"/>
              <w:spacing w:before="1" w:line="251" w:lineRule="exact"/>
              <w:ind w:right="370"/>
              <w:jc w:val="right"/>
              <w:rPr>
                <w:sz w:val="21"/>
              </w:rPr>
            </w:pPr>
            <w:r>
              <w:rPr>
                <w:sz w:val="21"/>
              </w:rPr>
              <w:t>6</w:t>
            </w:r>
          </w:p>
        </w:tc>
        <w:tc>
          <w:tcPr>
            <w:tcW w:w="1011" w:type="dxa"/>
          </w:tcPr>
          <w:p>
            <w:pPr>
              <w:pStyle w:val="17"/>
              <w:spacing w:before="1" w:line="251" w:lineRule="exact"/>
              <w:ind w:left="155"/>
              <w:jc w:val="center"/>
              <w:rPr>
                <w:sz w:val="21"/>
              </w:rPr>
            </w:pPr>
            <w:r>
              <w:rPr>
                <w:sz w:val="21"/>
              </w:rPr>
              <w:t>6</w:t>
            </w:r>
          </w:p>
        </w:tc>
      </w:tr>
      <w:tr>
        <w:tblPrEx>
          <w:tblCellMar>
            <w:top w:w="0" w:type="dxa"/>
            <w:left w:w="0" w:type="dxa"/>
            <w:bottom w:w="0" w:type="dxa"/>
            <w:right w:w="0" w:type="dxa"/>
          </w:tblCellMar>
        </w:tblPrEx>
        <w:trPr>
          <w:trHeight w:val="257" w:hRule="atLeast"/>
          <w:jc w:val="center"/>
        </w:trPr>
        <w:tc>
          <w:tcPr>
            <w:tcW w:w="2131" w:type="dxa"/>
          </w:tcPr>
          <w:p>
            <w:pPr>
              <w:pStyle w:val="17"/>
              <w:spacing w:before="2" w:line="250" w:lineRule="exact"/>
              <w:ind w:left="122"/>
              <w:rPr>
                <w:sz w:val="21"/>
              </w:rPr>
            </w:pPr>
            <w:r>
              <w:rPr>
                <w:sz w:val="21"/>
              </w:rPr>
              <w:t>传染病科</w:t>
            </w:r>
          </w:p>
        </w:tc>
        <w:tc>
          <w:tcPr>
            <w:tcW w:w="1103" w:type="dxa"/>
          </w:tcPr>
          <w:p>
            <w:pPr>
              <w:pStyle w:val="17"/>
              <w:spacing w:before="2" w:line="250" w:lineRule="exact"/>
              <w:ind w:right="352"/>
              <w:jc w:val="right"/>
              <w:rPr>
                <w:sz w:val="21"/>
              </w:rPr>
            </w:pPr>
            <w:r>
              <w:rPr>
                <w:sz w:val="21"/>
              </w:rPr>
              <w:t>2</w:t>
            </w:r>
          </w:p>
        </w:tc>
        <w:tc>
          <w:tcPr>
            <w:tcW w:w="1742" w:type="dxa"/>
          </w:tcPr>
          <w:p>
            <w:pPr>
              <w:pStyle w:val="17"/>
              <w:spacing w:before="2" w:line="250" w:lineRule="exact"/>
              <w:ind w:right="604"/>
              <w:jc w:val="center"/>
              <w:rPr>
                <w:sz w:val="21"/>
              </w:rPr>
            </w:pPr>
            <w:r>
              <w:rPr>
                <w:sz w:val="21"/>
              </w:rPr>
              <w:t>2</w:t>
            </w:r>
          </w:p>
        </w:tc>
        <w:tc>
          <w:tcPr>
            <w:tcW w:w="2310" w:type="dxa"/>
          </w:tcPr>
          <w:p>
            <w:pPr>
              <w:pStyle w:val="17"/>
              <w:spacing w:before="2" w:line="250" w:lineRule="exact"/>
              <w:rPr>
                <w:sz w:val="21"/>
              </w:rPr>
            </w:pPr>
            <w:r>
              <w:rPr>
                <w:sz w:val="21"/>
              </w:rPr>
              <w:t>神经病科</w:t>
            </w:r>
          </w:p>
        </w:tc>
        <w:tc>
          <w:tcPr>
            <w:tcW w:w="910" w:type="dxa"/>
          </w:tcPr>
          <w:p>
            <w:pPr>
              <w:pStyle w:val="17"/>
              <w:spacing w:before="2" w:line="250" w:lineRule="exact"/>
              <w:ind w:right="370"/>
              <w:jc w:val="right"/>
              <w:rPr>
                <w:sz w:val="21"/>
              </w:rPr>
            </w:pPr>
            <w:r>
              <w:rPr>
                <w:sz w:val="21"/>
              </w:rPr>
              <w:t>2</w:t>
            </w:r>
          </w:p>
        </w:tc>
        <w:tc>
          <w:tcPr>
            <w:tcW w:w="1011" w:type="dxa"/>
          </w:tcPr>
          <w:p>
            <w:pPr>
              <w:pStyle w:val="17"/>
              <w:spacing w:before="2" w:line="250" w:lineRule="exact"/>
              <w:ind w:left="155"/>
              <w:jc w:val="center"/>
              <w:rPr>
                <w:sz w:val="21"/>
              </w:rPr>
            </w:pPr>
            <w:r>
              <w:rPr>
                <w:sz w:val="21"/>
              </w:rPr>
              <w:t>2</w:t>
            </w:r>
          </w:p>
        </w:tc>
      </w:tr>
      <w:tr>
        <w:tblPrEx>
          <w:tblCellMar>
            <w:top w:w="0" w:type="dxa"/>
            <w:left w:w="0" w:type="dxa"/>
            <w:bottom w:w="0" w:type="dxa"/>
            <w:right w:w="0" w:type="dxa"/>
          </w:tblCellMar>
        </w:tblPrEx>
        <w:trPr>
          <w:trHeight w:val="272" w:hRule="atLeast"/>
          <w:jc w:val="center"/>
        </w:trPr>
        <w:tc>
          <w:tcPr>
            <w:tcW w:w="2131" w:type="dxa"/>
          </w:tcPr>
          <w:p>
            <w:pPr>
              <w:pStyle w:val="17"/>
              <w:spacing w:before="1" w:line="251" w:lineRule="exact"/>
              <w:ind w:left="122"/>
              <w:rPr>
                <w:sz w:val="21"/>
              </w:rPr>
            </w:pPr>
            <w:r>
              <w:rPr>
                <w:sz w:val="21"/>
              </w:rPr>
              <w:t>急诊科</w:t>
            </w:r>
          </w:p>
        </w:tc>
        <w:tc>
          <w:tcPr>
            <w:tcW w:w="1103" w:type="dxa"/>
          </w:tcPr>
          <w:p>
            <w:pPr>
              <w:pStyle w:val="17"/>
              <w:spacing w:before="1" w:line="251" w:lineRule="exact"/>
              <w:ind w:right="352"/>
              <w:jc w:val="right"/>
              <w:rPr>
                <w:sz w:val="21"/>
              </w:rPr>
            </w:pPr>
            <w:r>
              <w:rPr>
                <w:sz w:val="21"/>
              </w:rPr>
              <w:t>2</w:t>
            </w:r>
          </w:p>
        </w:tc>
        <w:tc>
          <w:tcPr>
            <w:tcW w:w="1742" w:type="dxa"/>
          </w:tcPr>
          <w:p>
            <w:pPr>
              <w:pStyle w:val="17"/>
              <w:spacing w:before="1" w:line="251" w:lineRule="exact"/>
              <w:ind w:right="604"/>
              <w:jc w:val="center"/>
              <w:rPr>
                <w:sz w:val="21"/>
              </w:rPr>
            </w:pPr>
            <w:r>
              <w:rPr>
                <w:sz w:val="21"/>
              </w:rPr>
              <w:t>2</w:t>
            </w:r>
          </w:p>
        </w:tc>
        <w:tc>
          <w:tcPr>
            <w:tcW w:w="2310" w:type="dxa"/>
          </w:tcPr>
          <w:p>
            <w:pPr>
              <w:pStyle w:val="17"/>
              <w:spacing w:before="1" w:line="251" w:lineRule="exact"/>
              <w:rPr>
                <w:sz w:val="21"/>
              </w:rPr>
            </w:pPr>
            <w:r>
              <w:rPr>
                <w:sz w:val="21"/>
              </w:rPr>
              <w:t>岗前培训</w:t>
            </w:r>
          </w:p>
        </w:tc>
        <w:tc>
          <w:tcPr>
            <w:tcW w:w="910" w:type="dxa"/>
          </w:tcPr>
          <w:p>
            <w:pPr>
              <w:pStyle w:val="17"/>
              <w:spacing w:before="1" w:line="251" w:lineRule="exact"/>
              <w:ind w:right="370"/>
              <w:jc w:val="right"/>
              <w:rPr>
                <w:sz w:val="21"/>
              </w:rPr>
            </w:pPr>
            <w:r>
              <w:rPr>
                <w:sz w:val="21"/>
              </w:rPr>
              <w:t>1</w:t>
            </w:r>
          </w:p>
        </w:tc>
        <w:tc>
          <w:tcPr>
            <w:tcW w:w="1011" w:type="dxa"/>
          </w:tcPr>
          <w:p>
            <w:pPr>
              <w:pStyle w:val="17"/>
              <w:spacing w:before="1" w:line="251" w:lineRule="exact"/>
              <w:ind w:left="155"/>
              <w:jc w:val="center"/>
              <w:rPr>
                <w:sz w:val="21"/>
              </w:rPr>
            </w:pPr>
            <w:r>
              <w:rPr>
                <w:sz w:val="21"/>
              </w:rPr>
              <w:t>1</w:t>
            </w:r>
          </w:p>
        </w:tc>
      </w:tr>
      <w:tr>
        <w:tblPrEx>
          <w:tblCellMar>
            <w:top w:w="0" w:type="dxa"/>
            <w:left w:w="0" w:type="dxa"/>
            <w:bottom w:w="0" w:type="dxa"/>
            <w:right w:w="0" w:type="dxa"/>
          </w:tblCellMar>
        </w:tblPrEx>
        <w:trPr>
          <w:trHeight w:val="272" w:hRule="atLeast"/>
          <w:jc w:val="center"/>
        </w:trPr>
        <w:tc>
          <w:tcPr>
            <w:tcW w:w="2131" w:type="dxa"/>
            <w:tcBorders>
              <w:bottom w:val="single" w:color="000000" w:sz="4" w:space="0"/>
            </w:tcBorders>
          </w:tcPr>
          <w:p>
            <w:pPr>
              <w:pStyle w:val="17"/>
              <w:spacing w:before="2" w:line="250" w:lineRule="exact"/>
              <w:ind w:left="122"/>
              <w:rPr>
                <w:sz w:val="21"/>
              </w:rPr>
            </w:pPr>
            <w:r>
              <w:rPr>
                <w:sz w:val="21"/>
              </w:rPr>
              <w:t>社区卫生</w:t>
            </w:r>
          </w:p>
        </w:tc>
        <w:tc>
          <w:tcPr>
            <w:tcW w:w="1103" w:type="dxa"/>
            <w:tcBorders>
              <w:bottom w:val="single" w:color="000000" w:sz="4" w:space="0"/>
            </w:tcBorders>
          </w:tcPr>
          <w:p>
            <w:pPr>
              <w:pStyle w:val="17"/>
              <w:spacing w:before="2" w:line="250" w:lineRule="exact"/>
              <w:ind w:right="352"/>
              <w:jc w:val="right"/>
              <w:rPr>
                <w:sz w:val="21"/>
              </w:rPr>
            </w:pPr>
            <w:r>
              <w:rPr>
                <w:sz w:val="21"/>
              </w:rPr>
              <w:t>2</w:t>
            </w:r>
          </w:p>
        </w:tc>
        <w:tc>
          <w:tcPr>
            <w:tcW w:w="1742" w:type="dxa"/>
            <w:tcBorders>
              <w:bottom w:val="single" w:color="000000" w:sz="4" w:space="0"/>
            </w:tcBorders>
          </w:tcPr>
          <w:p>
            <w:pPr>
              <w:pStyle w:val="17"/>
              <w:spacing w:before="2" w:line="250" w:lineRule="exact"/>
              <w:ind w:right="604"/>
              <w:jc w:val="center"/>
              <w:rPr>
                <w:sz w:val="21"/>
              </w:rPr>
            </w:pPr>
            <w:r>
              <w:rPr>
                <w:sz w:val="21"/>
              </w:rPr>
              <w:t>2</w:t>
            </w:r>
          </w:p>
        </w:tc>
        <w:tc>
          <w:tcPr>
            <w:tcW w:w="2310" w:type="dxa"/>
            <w:tcBorders>
              <w:bottom w:val="single" w:color="000000" w:sz="4" w:space="0"/>
            </w:tcBorders>
          </w:tcPr>
          <w:p>
            <w:pPr>
              <w:pStyle w:val="17"/>
              <w:spacing w:before="2" w:line="250" w:lineRule="exact"/>
              <w:rPr>
                <w:sz w:val="21"/>
              </w:rPr>
            </w:pPr>
            <w:r>
              <w:rPr>
                <w:sz w:val="21"/>
              </w:rPr>
              <w:t>中医科</w:t>
            </w:r>
          </w:p>
        </w:tc>
        <w:tc>
          <w:tcPr>
            <w:tcW w:w="910" w:type="dxa"/>
            <w:tcBorders>
              <w:bottom w:val="single" w:color="000000" w:sz="4" w:space="0"/>
            </w:tcBorders>
          </w:tcPr>
          <w:p>
            <w:pPr>
              <w:pStyle w:val="17"/>
              <w:spacing w:before="2" w:line="250" w:lineRule="exact"/>
              <w:ind w:right="370"/>
              <w:jc w:val="right"/>
              <w:rPr>
                <w:sz w:val="21"/>
              </w:rPr>
            </w:pPr>
            <w:r>
              <w:rPr>
                <w:sz w:val="21"/>
              </w:rPr>
              <w:t>1</w:t>
            </w:r>
          </w:p>
        </w:tc>
        <w:tc>
          <w:tcPr>
            <w:tcW w:w="1011" w:type="dxa"/>
            <w:tcBorders>
              <w:bottom w:val="single" w:color="000000" w:sz="4" w:space="0"/>
            </w:tcBorders>
          </w:tcPr>
          <w:p>
            <w:pPr>
              <w:pStyle w:val="17"/>
              <w:spacing w:before="2" w:line="250" w:lineRule="exact"/>
              <w:ind w:left="155"/>
              <w:jc w:val="center"/>
              <w:rPr>
                <w:sz w:val="21"/>
              </w:rPr>
            </w:pPr>
            <w:r>
              <w:rPr>
                <w:sz w:val="21"/>
              </w:rPr>
              <w:t>1</w:t>
            </w:r>
          </w:p>
        </w:tc>
      </w:tr>
    </w:tbl>
    <w:p>
      <w:pPr>
        <w:pStyle w:val="6"/>
        <w:spacing w:before="67" w:line="281" w:lineRule="auto"/>
        <w:ind w:left="838"/>
      </w:pPr>
    </w:p>
    <w:p>
      <w:pPr>
        <w:pStyle w:val="6"/>
        <w:spacing w:before="67" w:line="281" w:lineRule="auto"/>
        <w:ind w:left="838"/>
        <w:rPr>
          <w:lang w:val="en-US"/>
        </w:rPr>
      </w:pPr>
      <w:r>
        <w:rPr>
          <w:rFonts w:hint="eastAsia"/>
          <w:lang w:val="en-US"/>
        </w:rPr>
        <w:t>2.选修实习科目（选1 门，1 周，1 学分）</w:t>
      </w:r>
    </w:p>
    <w:tbl>
      <w:tblPr>
        <w:tblStyle w:val="12"/>
        <w:tblW w:w="0" w:type="auto"/>
        <w:tblInd w:w="339" w:type="dxa"/>
        <w:tblLayout w:type="fixed"/>
        <w:tblCellMar>
          <w:top w:w="0" w:type="dxa"/>
          <w:left w:w="0" w:type="dxa"/>
          <w:bottom w:w="0" w:type="dxa"/>
          <w:right w:w="0" w:type="dxa"/>
        </w:tblCellMar>
      </w:tblPr>
      <w:tblGrid>
        <w:gridCol w:w="1660"/>
        <w:gridCol w:w="998"/>
        <w:gridCol w:w="1631"/>
        <w:gridCol w:w="2247"/>
        <w:gridCol w:w="1085"/>
        <w:gridCol w:w="1011"/>
      </w:tblGrid>
      <w:tr>
        <w:tblPrEx>
          <w:tblCellMar>
            <w:top w:w="0" w:type="dxa"/>
            <w:left w:w="0" w:type="dxa"/>
            <w:bottom w:w="0" w:type="dxa"/>
            <w:right w:w="0" w:type="dxa"/>
          </w:tblCellMar>
        </w:tblPrEx>
        <w:trPr>
          <w:trHeight w:val="278" w:hRule="atLeast"/>
        </w:trPr>
        <w:tc>
          <w:tcPr>
            <w:tcW w:w="1660" w:type="dxa"/>
            <w:tcBorders>
              <w:top w:val="single" w:color="000000" w:sz="4" w:space="0"/>
              <w:bottom w:val="single" w:color="000000" w:sz="4" w:space="0"/>
            </w:tcBorders>
          </w:tcPr>
          <w:p>
            <w:pPr>
              <w:pStyle w:val="17"/>
              <w:spacing w:before="1" w:line="281" w:lineRule="auto"/>
              <w:ind w:left="122"/>
              <w:rPr>
                <w:sz w:val="21"/>
              </w:rPr>
            </w:pPr>
            <w:r>
              <w:rPr>
                <w:sz w:val="21"/>
              </w:rPr>
              <w:t>科目名称</w:t>
            </w:r>
          </w:p>
        </w:tc>
        <w:tc>
          <w:tcPr>
            <w:tcW w:w="998" w:type="dxa"/>
            <w:tcBorders>
              <w:top w:val="single" w:color="000000" w:sz="4" w:space="0"/>
              <w:bottom w:val="single" w:color="000000" w:sz="4" w:space="0"/>
            </w:tcBorders>
          </w:tcPr>
          <w:p>
            <w:pPr>
              <w:pStyle w:val="17"/>
              <w:spacing w:before="1" w:line="281" w:lineRule="auto"/>
              <w:ind w:right="301"/>
              <w:jc w:val="right"/>
              <w:rPr>
                <w:sz w:val="21"/>
              </w:rPr>
            </w:pPr>
            <w:r>
              <w:rPr>
                <w:sz w:val="21"/>
              </w:rPr>
              <w:t>周</w:t>
            </w:r>
          </w:p>
        </w:tc>
        <w:tc>
          <w:tcPr>
            <w:tcW w:w="1631" w:type="dxa"/>
            <w:tcBorders>
              <w:top w:val="single" w:color="000000" w:sz="4" w:space="0"/>
              <w:bottom w:val="single" w:color="000000" w:sz="4" w:space="0"/>
            </w:tcBorders>
          </w:tcPr>
          <w:p>
            <w:pPr>
              <w:pStyle w:val="17"/>
              <w:spacing w:before="1" w:line="281" w:lineRule="auto"/>
              <w:ind w:left="284" w:right="887"/>
              <w:jc w:val="center"/>
              <w:rPr>
                <w:sz w:val="21"/>
              </w:rPr>
            </w:pPr>
            <w:r>
              <w:rPr>
                <w:sz w:val="21"/>
              </w:rPr>
              <w:t>学分</w:t>
            </w:r>
          </w:p>
        </w:tc>
        <w:tc>
          <w:tcPr>
            <w:tcW w:w="2247" w:type="dxa"/>
            <w:tcBorders>
              <w:top w:val="single" w:color="000000" w:sz="4" w:space="0"/>
              <w:bottom w:val="single" w:color="000000" w:sz="4" w:space="0"/>
            </w:tcBorders>
          </w:tcPr>
          <w:p>
            <w:pPr>
              <w:pStyle w:val="17"/>
              <w:spacing w:before="1" w:line="281" w:lineRule="auto"/>
              <w:ind w:left="903"/>
              <w:rPr>
                <w:sz w:val="21"/>
              </w:rPr>
            </w:pPr>
            <w:r>
              <w:rPr>
                <w:sz w:val="21"/>
              </w:rPr>
              <w:t>科目名称</w:t>
            </w:r>
          </w:p>
        </w:tc>
        <w:tc>
          <w:tcPr>
            <w:tcW w:w="1085" w:type="dxa"/>
            <w:tcBorders>
              <w:top w:val="single" w:color="000000" w:sz="4" w:space="0"/>
              <w:bottom w:val="single" w:color="000000" w:sz="4" w:space="0"/>
            </w:tcBorders>
          </w:tcPr>
          <w:p>
            <w:pPr>
              <w:pStyle w:val="17"/>
              <w:spacing w:before="1" w:line="281" w:lineRule="auto"/>
              <w:ind w:left="499"/>
              <w:rPr>
                <w:sz w:val="21"/>
              </w:rPr>
            </w:pPr>
            <w:r>
              <w:rPr>
                <w:sz w:val="21"/>
              </w:rPr>
              <w:t>周</w:t>
            </w:r>
          </w:p>
        </w:tc>
        <w:tc>
          <w:tcPr>
            <w:tcW w:w="1011" w:type="dxa"/>
            <w:tcBorders>
              <w:top w:val="single" w:color="000000" w:sz="4" w:space="0"/>
              <w:bottom w:val="single" w:color="000000" w:sz="4" w:space="0"/>
            </w:tcBorders>
          </w:tcPr>
          <w:p>
            <w:pPr>
              <w:pStyle w:val="17"/>
              <w:spacing w:before="1" w:line="281" w:lineRule="auto"/>
              <w:ind w:left="349" w:right="198"/>
              <w:jc w:val="center"/>
              <w:rPr>
                <w:sz w:val="21"/>
              </w:rPr>
            </w:pPr>
            <w:r>
              <w:rPr>
                <w:sz w:val="21"/>
              </w:rPr>
              <w:t>学分</w:t>
            </w:r>
          </w:p>
        </w:tc>
      </w:tr>
      <w:tr>
        <w:tblPrEx>
          <w:tblCellMar>
            <w:top w:w="0" w:type="dxa"/>
            <w:left w:w="0" w:type="dxa"/>
            <w:bottom w:w="0" w:type="dxa"/>
            <w:right w:w="0" w:type="dxa"/>
          </w:tblCellMar>
        </w:tblPrEx>
        <w:trPr>
          <w:trHeight w:val="270" w:hRule="atLeast"/>
        </w:trPr>
        <w:tc>
          <w:tcPr>
            <w:tcW w:w="1660" w:type="dxa"/>
            <w:tcBorders>
              <w:top w:val="single" w:color="000000" w:sz="4" w:space="0"/>
            </w:tcBorders>
          </w:tcPr>
          <w:p>
            <w:pPr>
              <w:pStyle w:val="17"/>
              <w:spacing w:before="1" w:line="281" w:lineRule="auto"/>
              <w:ind w:left="122"/>
              <w:rPr>
                <w:sz w:val="21"/>
              </w:rPr>
            </w:pPr>
            <w:r>
              <w:rPr>
                <w:sz w:val="21"/>
              </w:rPr>
              <w:t>耳鼻咽喉科</w:t>
            </w:r>
          </w:p>
        </w:tc>
        <w:tc>
          <w:tcPr>
            <w:tcW w:w="998" w:type="dxa"/>
            <w:tcBorders>
              <w:top w:val="single" w:color="000000" w:sz="4" w:space="0"/>
            </w:tcBorders>
          </w:tcPr>
          <w:p>
            <w:pPr>
              <w:pStyle w:val="17"/>
              <w:spacing w:before="1" w:line="281" w:lineRule="auto"/>
              <w:ind w:right="353"/>
              <w:jc w:val="right"/>
              <w:rPr>
                <w:sz w:val="21"/>
              </w:rPr>
            </w:pPr>
            <w:r>
              <w:rPr>
                <w:sz w:val="21"/>
              </w:rPr>
              <w:t>1</w:t>
            </w:r>
          </w:p>
        </w:tc>
        <w:tc>
          <w:tcPr>
            <w:tcW w:w="1631" w:type="dxa"/>
            <w:tcBorders>
              <w:top w:val="single" w:color="000000" w:sz="4" w:space="0"/>
            </w:tcBorders>
          </w:tcPr>
          <w:p>
            <w:pPr>
              <w:pStyle w:val="17"/>
              <w:spacing w:before="1" w:line="281" w:lineRule="auto"/>
              <w:ind w:right="607"/>
              <w:jc w:val="center"/>
              <w:rPr>
                <w:sz w:val="21"/>
              </w:rPr>
            </w:pPr>
            <w:r>
              <w:rPr>
                <w:sz w:val="21"/>
              </w:rPr>
              <w:t>1</w:t>
            </w:r>
          </w:p>
        </w:tc>
        <w:tc>
          <w:tcPr>
            <w:tcW w:w="2247" w:type="dxa"/>
            <w:tcBorders>
              <w:top w:val="single" w:color="000000" w:sz="4" w:space="0"/>
            </w:tcBorders>
          </w:tcPr>
          <w:p>
            <w:pPr>
              <w:pStyle w:val="17"/>
              <w:spacing w:before="1" w:line="281" w:lineRule="auto"/>
              <w:ind w:left="903"/>
              <w:rPr>
                <w:sz w:val="21"/>
              </w:rPr>
            </w:pPr>
            <w:r>
              <w:rPr>
                <w:sz w:val="21"/>
              </w:rPr>
              <w:t>心电图</w:t>
            </w:r>
          </w:p>
        </w:tc>
        <w:tc>
          <w:tcPr>
            <w:tcW w:w="1085" w:type="dxa"/>
            <w:tcBorders>
              <w:top w:val="single" w:color="000000" w:sz="4" w:space="0"/>
            </w:tcBorders>
          </w:tcPr>
          <w:p>
            <w:pPr>
              <w:pStyle w:val="17"/>
              <w:spacing w:before="1" w:line="281" w:lineRule="auto"/>
              <w:ind w:left="499"/>
              <w:rPr>
                <w:sz w:val="21"/>
              </w:rPr>
            </w:pPr>
            <w:r>
              <w:rPr>
                <w:sz w:val="21"/>
              </w:rPr>
              <w:t>1</w:t>
            </w:r>
          </w:p>
        </w:tc>
        <w:tc>
          <w:tcPr>
            <w:tcW w:w="1011" w:type="dxa"/>
            <w:tcBorders>
              <w:top w:val="single" w:color="000000" w:sz="4" w:space="0"/>
            </w:tcBorders>
          </w:tcPr>
          <w:p>
            <w:pPr>
              <w:pStyle w:val="17"/>
              <w:spacing w:before="1" w:line="281" w:lineRule="auto"/>
              <w:ind w:left="151"/>
              <w:jc w:val="center"/>
              <w:rPr>
                <w:sz w:val="21"/>
              </w:rPr>
            </w:pPr>
            <w:r>
              <w:rPr>
                <w:sz w:val="21"/>
              </w:rPr>
              <w:t>1</w:t>
            </w:r>
          </w:p>
        </w:tc>
      </w:tr>
      <w:tr>
        <w:tblPrEx>
          <w:tblCellMar>
            <w:top w:w="0" w:type="dxa"/>
            <w:left w:w="0" w:type="dxa"/>
            <w:bottom w:w="0" w:type="dxa"/>
            <w:right w:w="0" w:type="dxa"/>
          </w:tblCellMar>
        </w:tblPrEx>
        <w:trPr>
          <w:trHeight w:val="272" w:hRule="atLeast"/>
        </w:trPr>
        <w:tc>
          <w:tcPr>
            <w:tcW w:w="1660" w:type="dxa"/>
          </w:tcPr>
          <w:p>
            <w:pPr>
              <w:pStyle w:val="17"/>
              <w:spacing w:before="1" w:line="281" w:lineRule="auto"/>
              <w:ind w:left="122"/>
              <w:rPr>
                <w:sz w:val="21"/>
                <w:lang w:val="en-US"/>
              </w:rPr>
            </w:pPr>
            <w:r>
              <w:rPr>
                <w:sz w:val="21"/>
              </w:rPr>
              <w:t>超</w:t>
            </w:r>
            <w:r>
              <w:rPr>
                <w:rFonts w:hint="eastAsia"/>
                <w:sz w:val="21"/>
                <w:lang w:val="en-US"/>
              </w:rPr>
              <w:t>声诊断科</w:t>
            </w:r>
          </w:p>
        </w:tc>
        <w:tc>
          <w:tcPr>
            <w:tcW w:w="998" w:type="dxa"/>
          </w:tcPr>
          <w:p>
            <w:pPr>
              <w:pStyle w:val="17"/>
              <w:spacing w:before="1" w:line="281" w:lineRule="auto"/>
              <w:ind w:right="353"/>
              <w:jc w:val="right"/>
              <w:rPr>
                <w:sz w:val="21"/>
              </w:rPr>
            </w:pPr>
            <w:r>
              <w:rPr>
                <w:sz w:val="21"/>
              </w:rPr>
              <w:t>1</w:t>
            </w:r>
          </w:p>
        </w:tc>
        <w:tc>
          <w:tcPr>
            <w:tcW w:w="1631" w:type="dxa"/>
          </w:tcPr>
          <w:p>
            <w:pPr>
              <w:pStyle w:val="17"/>
              <w:spacing w:before="1" w:line="281" w:lineRule="auto"/>
              <w:ind w:right="607"/>
              <w:jc w:val="center"/>
              <w:rPr>
                <w:sz w:val="21"/>
              </w:rPr>
            </w:pPr>
            <w:r>
              <w:rPr>
                <w:sz w:val="21"/>
              </w:rPr>
              <w:t>1</w:t>
            </w:r>
          </w:p>
        </w:tc>
        <w:tc>
          <w:tcPr>
            <w:tcW w:w="2247" w:type="dxa"/>
          </w:tcPr>
          <w:p>
            <w:pPr>
              <w:pStyle w:val="17"/>
              <w:spacing w:before="1" w:line="281" w:lineRule="auto"/>
              <w:ind w:left="903"/>
              <w:rPr>
                <w:sz w:val="21"/>
              </w:rPr>
            </w:pPr>
            <w:r>
              <w:rPr>
                <w:sz w:val="21"/>
              </w:rPr>
              <w:t>皮肤科</w:t>
            </w:r>
          </w:p>
        </w:tc>
        <w:tc>
          <w:tcPr>
            <w:tcW w:w="1085" w:type="dxa"/>
          </w:tcPr>
          <w:p>
            <w:pPr>
              <w:pStyle w:val="17"/>
              <w:spacing w:before="1" w:line="281" w:lineRule="auto"/>
              <w:ind w:left="499"/>
              <w:rPr>
                <w:sz w:val="21"/>
              </w:rPr>
            </w:pPr>
            <w:r>
              <w:rPr>
                <w:sz w:val="21"/>
              </w:rPr>
              <w:t>1</w:t>
            </w:r>
          </w:p>
        </w:tc>
        <w:tc>
          <w:tcPr>
            <w:tcW w:w="1011" w:type="dxa"/>
          </w:tcPr>
          <w:p>
            <w:pPr>
              <w:pStyle w:val="17"/>
              <w:spacing w:before="1" w:line="281" w:lineRule="auto"/>
              <w:ind w:left="151"/>
              <w:jc w:val="center"/>
              <w:rPr>
                <w:sz w:val="21"/>
              </w:rPr>
            </w:pPr>
            <w:r>
              <w:rPr>
                <w:sz w:val="21"/>
              </w:rPr>
              <w:t>1</w:t>
            </w:r>
          </w:p>
        </w:tc>
      </w:tr>
      <w:tr>
        <w:tblPrEx>
          <w:tblCellMar>
            <w:top w:w="0" w:type="dxa"/>
            <w:left w:w="0" w:type="dxa"/>
            <w:bottom w:w="0" w:type="dxa"/>
            <w:right w:w="0" w:type="dxa"/>
          </w:tblCellMar>
        </w:tblPrEx>
        <w:trPr>
          <w:trHeight w:val="274" w:hRule="atLeast"/>
        </w:trPr>
        <w:tc>
          <w:tcPr>
            <w:tcW w:w="1660" w:type="dxa"/>
            <w:tcBorders>
              <w:bottom w:val="single" w:color="000000" w:sz="4" w:space="0"/>
            </w:tcBorders>
          </w:tcPr>
          <w:p>
            <w:pPr>
              <w:pStyle w:val="17"/>
              <w:spacing w:before="2" w:line="281" w:lineRule="auto"/>
              <w:ind w:left="122"/>
              <w:rPr>
                <w:sz w:val="21"/>
              </w:rPr>
            </w:pPr>
            <w:r>
              <w:rPr>
                <w:sz w:val="21"/>
              </w:rPr>
              <w:t>眼科</w:t>
            </w:r>
          </w:p>
        </w:tc>
        <w:tc>
          <w:tcPr>
            <w:tcW w:w="998" w:type="dxa"/>
            <w:tcBorders>
              <w:bottom w:val="single" w:color="000000" w:sz="4" w:space="0"/>
            </w:tcBorders>
          </w:tcPr>
          <w:p>
            <w:pPr>
              <w:pStyle w:val="17"/>
              <w:spacing w:before="2" w:line="281" w:lineRule="auto"/>
              <w:ind w:right="353"/>
              <w:jc w:val="right"/>
              <w:rPr>
                <w:sz w:val="21"/>
              </w:rPr>
            </w:pPr>
            <w:r>
              <w:rPr>
                <w:sz w:val="21"/>
              </w:rPr>
              <w:t>1</w:t>
            </w:r>
          </w:p>
        </w:tc>
        <w:tc>
          <w:tcPr>
            <w:tcW w:w="1631" w:type="dxa"/>
            <w:tcBorders>
              <w:bottom w:val="single" w:color="000000" w:sz="4" w:space="0"/>
            </w:tcBorders>
          </w:tcPr>
          <w:p>
            <w:pPr>
              <w:pStyle w:val="17"/>
              <w:spacing w:before="2" w:line="281" w:lineRule="auto"/>
              <w:ind w:right="607"/>
              <w:jc w:val="center"/>
              <w:rPr>
                <w:sz w:val="21"/>
              </w:rPr>
            </w:pPr>
            <w:r>
              <w:rPr>
                <w:sz w:val="21"/>
              </w:rPr>
              <w:t>1</w:t>
            </w:r>
          </w:p>
        </w:tc>
        <w:tc>
          <w:tcPr>
            <w:tcW w:w="2247" w:type="dxa"/>
            <w:tcBorders>
              <w:bottom w:val="single" w:color="000000" w:sz="4" w:space="0"/>
            </w:tcBorders>
          </w:tcPr>
          <w:p>
            <w:pPr>
              <w:pStyle w:val="17"/>
              <w:spacing w:before="2" w:line="281" w:lineRule="auto"/>
              <w:ind w:left="903"/>
              <w:rPr>
                <w:sz w:val="21"/>
              </w:rPr>
            </w:pPr>
            <w:r>
              <w:rPr>
                <w:sz w:val="21"/>
              </w:rPr>
              <w:t>放射科</w:t>
            </w:r>
          </w:p>
        </w:tc>
        <w:tc>
          <w:tcPr>
            <w:tcW w:w="1085" w:type="dxa"/>
            <w:tcBorders>
              <w:bottom w:val="single" w:color="000000" w:sz="4" w:space="0"/>
            </w:tcBorders>
          </w:tcPr>
          <w:p>
            <w:pPr>
              <w:pStyle w:val="17"/>
              <w:spacing w:before="2" w:line="281" w:lineRule="auto"/>
              <w:ind w:left="499"/>
              <w:rPr>
                <w:sz w:val="21"/>
              </w:rPr>
            </w:pPr>
            <w:r>
              <w:rPr>
                <w:sz w:val="21"/>
              </w:rPr>
              <w:t>1</w:t>
            </w:r>
          </w:p>
        </w:tc>
        <w:tc>
          <w:tcPr>
            <w:tcW w:w="1011" w:type="dxa"/>
            <w:tcBorders>
              <w:bottom w:val="single" w:color="000000" w:sz="4" w:space="0"/>
            </w:tcBorders>
          </w:tcPr>
          <w:p>
            <w:pPr>
              <w:pStyle w:val="17"/>
              <w:spacing w:before="2" w:line="281" w:lineRule="auto"/>
              <w:ind w:left="151"/>
              <w:jc w:val="center"/>
              <w:rPr>
                <w:sz w:val="21"/>
              </w:rPr>
            </w:pPr>
            <w:r>
              <w:rPr>
                <w:sz w:val="21"/>
              </w:rPr>
              <w:t>1</w:t>
            </w:r>
          </w:p>
        </w:tc>
      </w:tr>
    </w:tbl>
    <w:p>
      <w:pPr>
        <w:pStyle w:val="6"/>
        <w:spacing w:before="67" w:line="281" w:lineRule="auto"/>
        <w:ind w:left="838"/>
        <w:rPr>
          <w:lang w:val="en-US"/>
        </w:rPr>
      </w:pPr>
      <w:r>
        <w:rPr>
          <w:rFonts w:hint="eastAsia"/>
          <w:lang w:val="en-US"/>
        </w:rPr>
        <w:t>3.机动 4 周，用于事假、考试、公益活动等。</w:t>
      </w:r>
    </w:p>
    <w:p>
      <w:pPr>
        <w:pStyle w:val="6"/>
        <w:spacing w:line="281" w:lineRule="auto"/>
      </w:pPr>
      <w:r>
        <w:t>（五）社会实践（2</w:t>
      </w:r>
      <w:r>
        <w:rPr>
          <w:rFonts w:hint="eastAsia"/>
          <w:lang w:val="en-US"/>
        </w:rPr>
        <w:t xml:space="preserve"> </w:t>
      </w:r>
      <w:r>
        <w:t>周，2</w:t>
      </w:r>
      <w:r>
        <w:rPr>
          <w:rFonts w:hint="eastAsia"/>
          <w:lang w:val="en-US"/>
        </w:rPr>
        <w:t xml:space="preserve"> </w:t>
      </w:r>
      <w:r>
        <w:t>学分）。</w:t>
      </w:r>
    </w:p>
    <w:p>
      <w:pPr>
        <w:pStyle w:val="6"/>
        <w:spacing w:line="281" w:lineRule="auto"/>
      </w:pPr>
      <w:r>
        <w:rPr>
          <w:rFonts w:hint="eastAsia"/>
        </w:rPr>
        <w:t>（</w:t>
      </w:r>
      <w:r>
        <w:rPr>
          <w:rFonts w:hint="eastAsia"/>
          <w:lang w:val="en-US"/>
        </w:rPr>
        <w:t>1</w:t>
      </w:r>
      <w:r>
        <w:rPr>
          <w:rFonts w:hint="eastAsia"/>
        </w:rPr>
        <w:t>）</w:t>
      </w:r>
      <w:r>
        <w:t>假期社会实践：寒暑假社会实践，36 学时（1 周）计 1 学分。</w:t>
      </w:r>
    </w:p>
    <w:p>
      <w:pPr>
        <w:pStyle w:val="6"/>
        <w:spacing w:line="281" w:lineRule="auto"/>
      </w:pPr>
      <w:r>
        <w:rPr>
          <w:rFonts w:hint="eastAsia"/>
        </w:rPr>
        <w:t>（</w:t>
      </w:r>
      <w:r>
        <w:rPr>
          <w:rFonts w:hint="eastAsia"/>
          <w:lang w:val="en-US"/>
        </w:rPr>
        <w:t>2</w:t>
      </w:r>
      <w:r>
        <w:rPr>
          <w:rFonts w:hint="eastAsia"/>
        </w:rPr>
        <w:t>）</w:t>
      </w:r>
      <w:r>
        <w:t>志愿服务：校内外志愿服务活动，36 学时（1 周）计 1 学分。</w:t>
      </w:r>
    </w:p>
    <w:p>
      <w:pPr>
        <w:pStyle w:val="6"/>
        <w:spacing w:line="281" w:lineRule="auto"/>
      </w:pPr>
      <w:r>
        <w:rPr>
          <w:rFonts w:hint="eastAsia"/>
        </w:rPr>
        <w:t>（</w:t>
      </w:r>
      <w:r>
        <w:rPr>
          <w:rFonts w:hint="eastAsia"/>
          <w:lang w:val="en-US"/>
        </w:rPr>
        <w:t>3</w:t>
      </w:r>
      <w:r>
        <w:rPr>
          <w:rFonts w:hint="eastAsia"/>
        </w:rPr>
        <w:t>）</w:t>
      </w:r>
      <w:r>
        <w:t>公益劳动：校内外公益劳动，每学期 1 学时。</w:t>
      </w:r>
    </w:p>
    <w:p>
      <w:pPr>
        <w:pStyle w:val="6"/>
        <w:spacing w:line="281" w:lineRule="auto"/>
      </w:pPr>
      <w:r>
        <w:t>单项或者累计学分满 2 学分者，计 2 学分。</w:t>
      </w:r>
    </w:p>
    <w:p>
      <w:pPr>
        <w:pStyle w:val="10"/>
        <w:autoSpaceDE/>
        <w:autoSpaceDN/>
        <w:spacing w:before="0" w:beforeAutospacing="0" w:after="0" w:afterAutospacing="0" w:line="281" w:lineRule="auto"/>
        <w:ind w:firstLine="480" w:firstLineChars="200"/>
        <w:rPr>
          <w:rStyle w:val="14"/>
          <w:rFonts w:ascii="Times New Roman" w:hAnsi="Times New Roman" w:eastAsiaTheme="minorHAnsi"/>
          <w:szCs w:val="24"/>
          <w:lang w:val="en-US" w:bidi="ar-SA"/>
        </w:rPr>
      </w:pPr>
      <w:r>
        <w:rPr>
          <w:rStyle w:val="14"/>
          <w:rFonts w:hint="eastAsia" w:ascii="Times New Roman" w:hAnsi="Times New Roman" w:eastAsiaTheme="minorHAnsi"/>
          <w:szCs w:val="24"/>
          <w:lang w:val="en-US" w:bidi="ar-SA"/>
        </w:rPr>
        <w:t>六、学制及修业年限</w:t>
      </w:r>
    </w:p>
    <w:p>
      <w:pPr>
        <w:pStyle w:val="6"/>
        <w:spacing w:line="281" w:lineRule="auto"/>
        <w:ind w:left="358"/>
      </w:pPr>
      <w:r>
        <w:t>（一）基本学制：本科 5 年、硕士 3 年。</w:t>
      </w:r>
    </w:p>
    <w:p>
      <w:pPr>
        <w:pStyle w:val="6"/>
        <w:spacing w:before="52" w:line="281" w:lineRule="auto"/>
        <w:ind w:left="358"/>
      </w:pPr>
      <w:r>
        <w:t>（二）修业年限：本科 5～8 年、硕士 3～5 年。</w:t>
      </w:r>
    </w:p>
    <w:p>
      <w:pPr>
        <w:pStyle w:val="6"/>
        <w:spacing w:line="281" w:lineRule="auto"/>
        <w:ind w:left="358"/>
      </w:pPr>
      <w:r>
        <w:t>（三）各学年时间安排：见表 1。</w:t>
      </w:r>
    </w:p>
    <w:p>
      <w:pPr>
        <w:pStyle w:val="6"/>
        <w:tabs>
          <w:tab w:val="left" w:pos="778"/>
        </w:tabs>
        <w:spacing w:before="52" w:after="27" w:line="281" w:lineRule="auto"/>
        <w:ind w:left="118"/>
        <w:jc w:val="center"/>
        <w:rPr>
          <w:sz w:val="21"/>
          <w:szCs w:val="21"/>
        </w:rPr>
      </w:pPr>
      <w:r>
        <w:rPr>
          <w:rFonts w:hint="eastAsia"/>
          <w:sz w:val="21"/>
          <w:szCs w:val="21"/>
        </w:rPr>
        <w:t>表</w:t>
      </w:r>
      <w:r>
        <w:rPr>
          <w:rFonts w:hint="eastAsia"/>
          <w:spacing w:val="-60"/>
          <w:sz w:val="21"/>
          <w:szCs w:val="21"/>
        </w:rPr>
        <w:t xml:space="preserve"> </w:t>
      </w:r>
      <w:r>
        <w:rPr>
          <w:rFonts w:hint="eastAsia"/>
          <w:sz w:val="21"/>
          <w:szCs w:val="21"/>
        </w:rPr>
        <w:t>1</w:t>
      </w:r>
      <w:r>
        <w:rPr>
          <w:rFonts w:hint="eastAsia"/>
          <w:sz w:val="21"/>
          <w:szCs w:val="21"/>
        </w:rPr>
        <w:tab/>
      </w:r>
      <w:r>
        <w:rPr>
          <w:rFonts w:hint="eastAsia"/>
          <w:sz w:val="21"/>
          <w:szCs w:val="21"/>
        </w:rPr>
        <w:t>临床医学专业（“5+3”一体化）本科阶段各学年时间安排（单位：周）</w:t>
      </w:r>
    </w:p>
    <w:tbl>
      <w:tblPr>
        <w:tblStyle w:val="12"/>
        <w:tblW w:w="0" w:type="auto"/>
        <w:tblInd w:w="339" w:type="dxa"/>
        <w:tblLayout w:type="fixed"/>
        <w:tblCellMar>
          <w:top w:w="0" w:type="dxa"/>
          <w:left w:w="0" w:type="dxa"/>
          <w:bottom w:w="0" w:type="dxa"/>
          <w:right w:w="0" w:type="dxa"/>
        </w:tblCellMar>
      </w:tblPr>
      <w:tblGrid>
        <w:gridCol w:w="1070"/>
        <w:gridCol w:w="1099"/>
        <w:gridCol w:w="1001"/>
        <w:gridCol w:w="991"/>
        <w:gridCol w:w="992"/>
        <w:gridCol w:w="1099"/>
        <w:gridCol w:w="1133"/>
        <w:gridCol w:w="1242"/>
      </w:tblGrid>
      <w:tr>
        <w:tblPrEx>
          <w:tblCellMar>
            <w:top w:w="0" w:type="dxa"/>
            <w:left w:w="0" w:type="dxa"/>
            <w:bottom w:w="0" w:type="dxa"/>
            <w:right w:w="0" w:type="dxa"/>
          </w:tblCellMar>
        </w:tblPrEx>
        <w:trPr>
          <w:trHeight w:val="544" w:hRule="atLeast"/>
        </w:trPr>
        <w:tc>
          <w:tcPr>
            <w:tcW w:w="1070" w:type="dxa"/>
            <w:tcBorders>
              <w:top w:val="single" w:color="000000" w:sz="4" w:space="0"/>
              <w:bottom w:val="single" w:color="000000" w:sz="4" w:space="0"/>
            </w:tcBorders>
          </w:tcPr>
          <w:p>
            <w:pPr>
              <w:pStyle w:val="17"/>
              <w:spacing w:before="135" w:line="281" w:lineRule="auto"/>
              <w:ind w:left="192"/>
              <w:rPr>
                <w:sz w:val="21"/>
              </w:rPr>
            </w:pPr>
            <w:r>
              <w:rPr>
                <w:sz w:val="21"/>
              </w:rPr>
              <w:t>学年</w:t>
            </w:r>
          </w:p>
        </w:tc>
        <w:tc>
          <w:tcPr>
            <w:tcW w:w="1099" w:type="dxa"/>
            <w:tcBorders>
              <w:top w:val="single" w:color="000000" w:sz="4" w:space="0"/>
              <w:bottom w:val="single" w:color="000000" w:sz="4" w:space="0"/>
            </w:tcBorders>
          </w:tcPr>
          <w:p>
            <w:pPr>
              <w:pStyle w:val="17"/>
              <w:spacing w:before="135" w:line="281" w:lineRule="auto"/>
              <w:ind w:left="223"/>
              <w:rPr>
                <w:sz w:val="21"/>
              </w:rPr>
            </w:pPr>
            <w:r>
              <w:rPr>
                <w:sz w:val="21"/>
              </w:rPr>
              <w:t>教学</w:t>
            </w:r>
          </w:p>
        </w:tc>
        <w:tc>
          <w:tcPr>
            <w:tcW w:w="1001" w:type="dxa"/>
            <w:tcBorders>
              <w:top w:val="single" w:color="000000" w:sz="4" w:space="0"/>
              <w:bottom w:val="single" w:color="000000" w:sz="4" w:space="0"/>
            </w:tcBorders>
          </w:tcPr>
          <w:p>
            <w:pPr>
              <w:pStyle w:val="17"/>
              <w:spacing w:before="135" w:line="281" w:lineRule="auto"/>
              <w:ind w:right="316"/>
              <w:jc w:val="right"/>
              <w:rPr>
                <w:sz w:val="21"/>
              </w:rPr>
            </w:pPr>
            <w:r>
              <w:rPr>
                <w:sz w:val="21"/>
              </w:rPr>
              <w:t>考试</w:t>
            </w:r>
          </w:p>
        </w:tc>
        <w:tc>
          <w:tcPr>
            <w:tcW w:w="991" w:type="dxa"/>
            <w:tcBorders>
              <w:top w:val="single" w:color="000000" w:sz="4" w:space="0"/>
              <w:bottom w:val="single" w:color="000000" w:sz="4" w:space="0"/>
            </w:tcBorders>
          </w:tcPr>
          <w:p>
            <w:pPr>
              <w:pStyle w:val="17"/>
              <w:spacing w:before="1" w:line="281" w:lineRule="auto"/>
              <w:ind w:left="250"/>
              <w:rPr>
                <w:sz w:val="21"/>
              </w:rPr>
            </w:pPr>
            <w:r>
              <w:rPr>
                <w:sz w:val="21"/>
              </w:rPr>
              <w:t>通科</w:t>
            </w:r>
          </w:p>
          <w:p>
            <w:pPr>
              <w:pStyle w:val="17"/>
              <w:spacing w:before="2" w:line="281" w:lineRule="auto"/>
              <w:ind w:left="250"/>
              <w:rPr>
                <w:sz w:val="21"/>
              </w:rPr>
            </w:pPr>
            <w:r>
              <w:rPr>
                <w:sz w:val="21"/>
              </w:rPr>
              <w:t>实习</w:t>
            </w:r>
          </w:p>
        </w:tc>
        <w:tc>
          <w:tcPr>
            <w:tcW w:w="992" w:type="dxa"/>
            <w:tcBorders>
              <w:top w:val="single" w:color="000000" w:sz="4" w:space="0"/>
              <w:bottom w:val="single" w:color="000000" w:sz="4" w:space="0"/>
            </w:tcBorders>
          </w:tcPr>
          <w:p>
            <w:pPr>
              <w:pStyle w:val="17"/>
              <w:spacing w:before="1" w:line="281" w:lineRule="auto"/>
              <w:ind w:left="250"/>
              <w:rPr>
                <w:sz w:val="21"/>
              </w:rPr>
            </w:pPr>
            <w:r>
              <w:rPr>
                <w:sz w:val="21"/>
              </w:rPr>
              <w:t>硕士</w:t>
            </w:r>
          </w:p>
          <w:p>
            <w:pPr>
              <w:pStyle w:val="17"/>
              <w:spacing w:before="2" w:line="281" w:lineRule="auto"/>
              <w:ind w:left="250"/>
              <w:rPr>
                <w:sz w:val="21"/>
              </w:rPr>
            </w:pPr>
            <w:r>
              <w:rPr>
                <w:sz w:val="21"/>
              </w:rPr>
              <w:t>阶段</w:t>
            </w:r>
          </w:p>
        </w:tc>
        <w:tc>
          <w:tcPr>
            <w:tcW w:w="1099" w:type="dxa"/>
            <w:tcBorders>
              <w:top w:val="single" w:color="000000" w:sz="4" w:space="0"/>
              <w:bottom w:val="single" w:color="000000" w:sz="4" w:space="0"/>
            </w:tcBorders>
          </w:tcPr>
          <w:p>
            <w:pPr>
              <w:pStyle w:val="17"/>
              <w:spacing w:before="135" w:line="281" w:lineRule="auto"/>
              <w:ind w:left="252"/>
              <w:rPr>
                <w:sz w:val="21"/>
              </w:rPr>
            </w:pPr>
            <w:r>
              <w:rPr>
                <w:sz w:val="21"/>
              </w:rPr>
              <w:t>机动</w:t>
            </w:r>
          </w:p>
        </w:tc>
        <w:tc>
          <w:tcPr>
            <w:tcW w:w="1133" w:type="dxa"/>
            <w:tcBorders>
              <w:top w:val="single" w:color="000000" w:sz="4" w:space="0"/>
              <w:bottom w:val="single" w:color="000000" w:sz="4" w:space="0"/>
            </w:tcBorders>
          </w:tcPr>
          <w:p>
            <w:pPr>
              <w:pStyle w:val="17"/>
              <w:spacing w:before="135" w:line="281" w:lineRule="auto"/>
              <w:ind w:left="337" w:right="336"/>
              <w:jc w:val="center"/>
              <w:rPr>
                <w:sz w:val="21"/>
              </w:rPr>
            </w:pPr>
            <w:r>
              <w:rPr>
                <w:sz w:val="21"/>
              </w:rPr>
              <w:t>假期</w:t>
            </w:r>
          </w:p>
        </w:tc>
        <w:tc>
          <w:tcPr>
            <w:tcW w:w="1242" w:type="dxa"/>
            <w:tcBorders>
              <w:top w:val="single" w:color="000000" w:sz="4" w:space="0"/>
              <w:bottom w:val="single" w:color="000000" w:sz="4" w:space="0"/>
            </w:tcBorders>
          </w:tcPr>
          <w:p>
            <w:pPr>
              <w:pStyle w:val="17"/>
              <w:spacing w:before="135" w:line="281" w:lineRule="auto"/>
              <w:ind w:right="458"/>
              <w:jc w:val="right"/>
              <w:rPr>
                <w:sz w:val="21"/>
              </w:rPr>
            </w:pPr>
            <w:r>
              <w:rPr>
                <w:sz w:val="21"/>
              </w:rPr>
              <w:t>合计</w:t>
            </w:r>
          </w:p>
        </w:tc>
      </w:tr>
      <w:tr>
        <w:tblPrEx>
          <w:tblCellMar>
            <w:top w:w="0" w:type="dxa"/>
            <w:left w:w="0" w:type="dxa"/>
            <w:bottom w:w="0" w:type="dxa"/>
            <w:right w:w="0" w:type="dxa"/>
          </w:tblCellMar>
        </w:tblPrEx>
        <w:trPr>
          <w:trHeight w:val="311" w:hRule="atLeast"/>
        </w:trPr>
        <w:tc>
          <w:tcPr>
            <w:tcW w:w="1070" w:type="dxa"/>
            <w:tcBorders>
              <w:top w:val="single" w:color="000000" w:sz="4" w:space="0"/>
            </w:tcBorders>
          </w:tcPr>
          <w:p>
            <w:pPr>
              <w:pStyle w:val="17"/>
              <w:spacing w:before="27" w:line="281" w:lineRule="auto"/>
              <w:ind w:left="527"/>
              <w:rPr>
                <w:sz w:val="21"/>
              </w:rPr>
            </w:pPr>
            <w:r>
              <w:rPr>
                <w:sz w:val="21"/>
              </w:rPr>
              <w:t>一</w:t>
            </w:r>
          </w:p>
        </w:tc>
        <w:tc>
          <w:tcPr>
            <w:tcW w:w="1099" w:type="dxa"/>
            <w:tcBorders>
              <w:top w:val="single" w:color="000000" w:sz="4" w:space="0"/>
            </w:tcBorders>
          </w:tcPr>
          <w:p>
            <w:pPr>
              <w:pStyle w:val="17"/>
              <w:spacing w:before="27" w:line="281" w:lineRule="auto"/>
              <w:ind w:right="309"/>
              <w:jc w:val="right"/>
              <w:rPr>
                <w:sz w:val="21"/>
              </w:rPr>
            </w:pPr>
            <w:r>
              <w:rPr>
                <w:sz w:val="21"/>
              </w:rPr>
              <w:t>31</w:t>
            </w:r>
          </w:p>
        </w:tc>
        <w:tc>
          <w:tcPr>
            <w:tcW w:w="1001" w:type="dxa"/>
            <w:tcBorders>
              <w:top w:val="single" w:color="000000" w:sz="4" w:space="0"/>
            </w:tcBorders>
          </w:tcPr>
          <w:p>
            <w:pPr>
              <w:pStyle w:val="17"/>
              <w:spacing w:before="27" w:line="281" w:lineRule="auto"/>
              <w:ind w:right="299"/>
              <w:jc w:val="right"/>
              <w:rPr>
                <w:sz w:val="21"/>
              </w:rPr>
            </w:pPr>
            <w:r>
              <w:rPr>
                <w:sz w:val="21"/>
              </w:rPr>
              <w:t>4</w:t>
            </w:r>
          </w:p>
        </w:tc>
        <w:tc>
          <w:tcPr>
            <w:tcW w:w="991" w:type="dxa"/>
            <w:tcBorders>
              <w:top w:val="single" w:color="000000" w:sz="4" w:space="0"/>
            </w:tcBorders>
          </w:tcPr>
          <w:p>
            <w:pPr>
              <w:pStyle w:val="17"/>
              <w:spacing w:line="281" w:lineRule="auto"/>
              <w:rPr>
                <w:rFonts w:ascii="Times New Roman"/>
              </w:rPr>
            </w:pPr>
          </w:p>
        </w:tc>
        <w:tc>
          <w:tcPr>
            <w:tcW w:w="992" w:type="dxa"/>
            <w:tcBorders>
              <w:top w:val="single" w:color="000000" w:sz="4" w:space="0"/>
            </w:tcBorders>
          </w:tcPr>
          <w:p>
            <w:pPr>
              <w:pStyle w:val="17"/>
              <w:spacing w:line="281" w:lineRule="auto"/>
              <w:rPr>
                <w:rFonts w:ascii="Times New Roman"/>
              </w:rPr>
            </w:pPr>
          </w:p>
        </w:tc>
        <w:tc>
          <w:tcPr>
            <w:tcW w:w="1099" w:type="dxa"/>
            <w:tcBorders>
              <w:top w:val="single" w:color="000000" w:sz="4" w:space="0"/>
            </w:tcBorders>
          </w:tcPr>
          <w:p>
            <w:pPr>
              <w:pStyle w:val="17"/>
              <w:spacing w:before="27" w:line="281" w:lineRule="auto"/>
              <w:ind w:left="184"/>
              <w:jc w:val="center"/>
              <w:rPr>
                <w:sz w:val="21"/>
              </w:rPr>
            </w:pPr>
            <w:r>
              <w:rPr>
                <w:sz w:val="21"/>
              </w:rPr>
              <w:t>3</w:t>
            </w:r>
          </w:p>
        </w:tc>
        <w:tc>
          <w:tcPr>
            <w:tcW w:w="1133" w:type="dxa"/>
            <w:tcBorders>
              <w:top w:val="single" w:color="000000" w:sz="4" w:space="0"/>
            </w:tcBorders>
          </w:tcPr>
          <w:p>
            <w:pPr>
              <w:pStyle w:val="17"/>
              <w:spacing w:before="27" w:line="281" w:lineRule="auto"/>
              <w:ind w:left="337" w:right="264"/>
              <w:jc w:val="center"/>
              <w:rPr>
                <w:sz w:val="21"/>
              </w:rPr>
            </w:pPr>
            <w:r>
              <w:rPr>
                <w:sz w:val="21"/>
              </w:rPr>
              <w:t>14</w:t>
            </w:r>
          </w:p>
        </w:tc>
        <w:tc>
          <w:tcPr>
            <w:tcW w:w="1242" w:type="dxa"/>
            <w:tcBorders>
              <w:top w:val="single" w:color="000000" w:sz="4" w:space="0"/>
            </w:tcBorders>
          </w:tcPr>
          <w:p>
            <w:pPr>
              <w:pStyle w:val="17"/>
              <w:spacing w:before="27" w:line="281" w:lineRule="auto"/>
              <w:ind w:right="528"/>
              <w:jc w:val="right"/>
              <w:rPr>
                <w:sz w:val="21"/>
              </w:rPr>
            </w:pPr>
            <w:r>
              <w:rPr>
                <w:sz w:val="21"/>
              </w:rPr>
              <w:t>52</w:t>
            </w:r>
          </w:p>
        </w:tc>
      </w:tr>
      <w:tr>
        <w:tblPrEx>
          <w:tblCellMar>
            <w:top w:w="0" w:type="dxa"/>
            <w:left w:w="0" w:type="dxa"/>
            <w:bottom w:w="0" w:type="dxa"/>
            <w:right w:w="0" w:type="dxa"/>
          </w:tblCellMar>
        </w:tblPrEx>
        <w:trPr>
          <w:trHeight w:val="300" w:hRule="atLeast"/>
        </w:trPr>
        <w:tc>
          <w:tcPr>
            <w:tcW w:w="1070" w:type="dxa"/>
          </w:tcPr>
          <w:p>
            <w:pPr>
              <w:pStyle w:val="17"/>
              <w:spacing w:before="16" w:line="281" w:lineRule="auto"/>
              <w:ind w:left="527"/>
              <w:rPr>
                <w:sz w:val="21"/>
              </w:rPr>
            </w:pPr>
            <w:r>
              <w:rPr>
                <w:sz w:val="21"/>
              </w:rPr>
              <w:t>二</w:t>
            </w:r>
          </w:p>
        </w:tc>
        <w:tc>
          <w:tcPr>
            <w:tcW w:w="1099" w:type="dxa"/>
          </w:tcPr>
          <w:p>
            <w:pPr>
              <w:pStyle w:val="17"/>
              <w:spacing w:before="16" w:line="281" w:lineRule="auto"/>
              <w:ind w:right="309"/>
              <w:jc w:val="right"/>
              <w:rPr>
                <w:sz w:val="21"/>
              </w:rPr>
            </w:pPr>
            <w:r>
              <w:rPr>
                <w:sz w:val="21"/>
              </w:rPr>
              <w:t>32</w:t>
            </w:r>
          </w:p>
        </w:tc>
        <w:tc>
          <w:tcPr>
            <w:tcW w:w="1001" w:type="dxa"/>
          </w:tcPr>
          <w:p>
            <w:pPr>
              <w:pStyle w:val="17"/>
              <w:spacing w:before="16" w:line="281" w:lineRule="auto"/>
              <w:ind w:right="299"/>
              <w:jc w:val="right"/>
              <w:rPr>
                <w:sz w:val="21"/>
              </w:rPr>
            </w:pPr>
            <w:r>
              <w:rPr>
                <w:sz w:val="21"/>
              </w:rPr>
              <w:t>4</w:t>
            </w:r>
          </w:p>
        </w:tc>
        <w:tc>
          <w:tcPr>
            <w:tcW w:w="991" w:type="dxa"/>
          </w:tcPr>
          <w:p>
            <w:pPr>
              <w:pStyle w:val="17"/>
              <w:spacing w:line="281" w:lineRule="auto"/>
              <w:rPr>
                <w:rFonts w:ascii="Times New Roman"/>
              </w:rPr>
            </w:pPr>
          </w:p>
        </w:tc>
        <w:tc>
          <w:tcPr>
            <w:tcW w:w="992" w:type="dxa"/>
          </w:tcPr>
          <w:p>
            <w:pPr>
              <w:pStyle w:val="17"/>
              <w:spacing w:line="281" w:lineRule="auto"/>
              <w:rPr>
                <w:rFonts w:ascii="Times New Roman"/>
              </w:rPr>
            </w:pPr>
          </w:p>
        </w:tc>
        <w:tc>
          <w:tcPr>
            <w:tcW w:w="1099" w:type="dxa"/>
          </w:tcPr>
          <w:p>
            <w:pPr>
              <w:pStyle w:val="17"/>
              <w:spacing w:before="16" w:line="281" w:lineRule="auto"/>
              <w:ind w:left="184"/>
              <w:jc w:val="center"/>
              <w:rPr>
                <w:sz w:val="21"/>
              </w:rPr>
            </w:pPr>
            <w:r>
              <w:rPr>
                <w:sz w:val="21"/>
              </w:rPr>
              <w:t>2</w:t>
            </w:r>
          </w:p>
        </w:tc>
        <w:tc>
          <w:tcPr>
            <w:tcW w:w="1133" w:type="dxa"/>
          </w:tcPr>
          <w:p>
            <w:pPr>
              <w:pStyle w:val="17"/>
              <w:spacing w:before="16" w:line="281" w:lineRule="auto"/>
              <w:ind w:left="337" w:right="264"/>
              <w:jc w:val="center"/>
              <w:rPr>
                <w:sz w:val="21"/>
              </w:rPr>
            </w:pPr>
            <w:r>
              <w:rPr>
                <w:sz w:val="21"/>
              </w:rPr>
              <w:t>14</w:t>
            </w:r>
          </w:p>
        </w:tc>
        <w:tc>
          <w:tcPr>
            <w:tcW w:w="1242" w:type="dxa"/>
          </w:tcPr>
          <w:p>
            <w:pPr>
              <w:pStyle w:val="17"/>
              <w:spacing w:before="16" w:line="281" w:lineRule="auto"/>
              <w:ind w:right="528"/>
              <w:jc w:val="right"/>
              <w:rPr>
                <w:sz w:val="21"/>
              </w:rPr>
            </w:pPr>
            <w:r>
              <w:rPr>
                <w:sz w:val="21"/>
              </w:rPr>
              <w:t>52</w:t>
            </w:r>
          </w:p>
        </w:tc>
      </w:tr>
      <w:tr>
        <w:tblPrEx>
          <w:tblCellMar>
            <w:top w:w="0" w:type="dxa"/>
            <w:left w:w="0" w:type="dxa"/>
            <w:bottom w:w="0" w:type="dxa"/>
            <w:right w:w="0" w:type="dxa"/>
          </w:tblCellMar>
        </w:tblPrEx>
        <w:trPr>
          <w:trHeight w:val="300" w:hRule="atLeast"/>
        </w:trPr>
        <w:tc>
          <w:tcPr>
            <w:tcW w:w="1070" w:type="dxa"/>
          </w:tcPr>
          <w:p>
            <w:pPr>
              <w:pStyle w:val="17"/>
              <w:spacing w:before="16" w:line="281" w:lineRule="auto"/>
              <w:ind w:left="527"/>
              <w:rPr>
                <w:sz w:val="21"/>
              </w:rPr>
            </w:pPr>
            <w:r>
              <w:rPr>
                <w:sz w:val="21"/>
              </w:rPr>
              <w:t>三</w:t>
            </w:r>
          </w:p>
        </w:tc>
        <w:tc>
          <w:tcPr>
            <w:tcW w:w="1099" w:type="dxa"/>
          </w:tcPr>
          <w:p>
            <w:pPr>
              <w:pStyle w:val="17"/>
              <w:spacing w:before="16" w:line="281" w:lineRule="auto"/>
              <w:ind w:right="309"/>
              <w:jc w:val="right"/>
              <w:rPr>
                <w:sz w:val="21"/>
              </w:rPr>
            </w:pPr>
            <w:r>
              <w:rPr>
                <w:sz w:val="21"/>
              </w:rPr>
              <w:t>32</w:t>
            </w:r>
          </w:p>
        </w:tc>
        <w:tc>
          <w:tcPr>
            <w:tcW w:w="1001" w:type="dxa"/>
          </w:tcPr>
          <w:p>
            <w:pPr>
              <w:pStyle w:val="17"/>
              <w:spacing w:before="16" w:line="281" w:lineRule="auto"/>
              <w:ind w:right="299"/>
              <w:jc w:val="right"/>
              <w:rPr>
                <w:sz w:val="21"/>
              </w:rPr>
            </w:pPr>
            <w:r>
              <w:rPr>
                <w:sz w:val="21"/>
              </w:rPr>
              <w:t>4</w:t>
            </w:r>
          </w:p>
        </w:tc>
        <w:tc>
          <w:tcPr>
            <w:tcW w:w="991" w:type="dxa"/>
          </w:tcPr>
          <w:p>
            <w:pPr>
              <w:pStyle w:val="17"/>
              <w:spacing w:line="281" w:lineRule="auto"/>
              <w:rPr>
                <w:rFonts w:ascii="Times New Roman"/>
              </w:rPr>
            </w:pPr>
          </w:p>
        </w:tc>
        <w:tc>
          <w:tcPr>
            <w:tcW w:w="992" w:type="dxa"/>
          </w:tcPr>
          <w:p>
            <w:pPr>
              <w:pStyle w:val="17"/>
              <w:spacing w:line="281" w:lineRule="auto"/>
              <w:rPr>
                <w:rFonts w:ascii="Times New Roman"/>
              </w:rPr>
            </w:pPr>
          </w:p>
        </w:tc>
        <w:tc>
          <w:tcPr>
            <w:tcW w:w="1099" w:type="dxa"/>
          </w:tcPr>
          <w:p>
            <w:pPr>
              <w:pStyle w:val="17"/>
              <w:spacing w:before="16" w:line="281" w:lineRule="auto"/>
              <w:ind w:left="184"/>
              <w:jc w:val="center"/>
              <w:rPr>
                <w:sz w:val="21"/>
              </w:rPr>
            </w:pPr>
            <w:r>
              <w:rPr>
                <w:sz w:val="21"/>
              </w:rPr>
              <w:t>2</w:t>
            </w:r>
          </w:p>
        </w:tc>
        <w:tc>
          <w:tcPr>
            <w:tcW w:w="1133" w:type="dxa"/>
          </w:tcPr>
          <w:p>
            <w:pPr>
              <w:pStyle w:val="17"/>
              <w:spacing w:before="16" w:line="281" w:lineRule="auto"/>
              <w:ind w:left="337" w:right="264"/>
              <w:jc w:val="center"/>
              <w:rPr>
                <w:sz w:val="21"/>
              </w:rPr>
            </w:pPr>
            <w:r>
              <w:rPr>
                <w:sz w:val="21"/>
              </w:rPr>
              <w:t>14</w:t>
            </w:r>
          </w:p>
        </w:tc>
        <w:tc>
          <w:tcPr>
            <w:tcW w:w="1242" w:type="dxa"/>
          </w:tcPr>
          <w:p>
            <w:pPr>
              <w:pStyle w:val="17"/>
              <w:spacing w:before="16" w:line="281" w:lineRule="auto"/>
              <w:ind w:right="528"/>
              <w:jc w:val="right"/>
              <w:rPr>
                <w:sz w:val="21"/>
              </w:rPr>
            </w:pPr>
            <w:r>
              <w:rPr>
                <w:sz w:val="21"/>
              </w:rPr>
              <w:t>52</w:t>
            </w:r>
          </w:p>
        </w:tc>
      </w:tr>
      <w:tr>
        <w:tblPrEx>
          <w:tblCellMar>
            <w:top w:w="0" w:type="dxa"/>
            <w:left w:w="0" w:type="dxa"/>
            <w:bottom w:w="0" w:type="dxa"/>
            <w:right w:w="0" w:type="dxa"/>
          </w:tblCellMar>
        </w:tblPrEx>
        <w:trPr>
          <w:trHeight w:val="300" w:hRule="atLeast"/>
        </w:trPr>
        <w:tc>
          <w:tcPr>
            <w:tcW w:w="1070" w:type="dxa"/>
          </w:tcPr>
          <w:p>
            <w:pPr>
              <w:pStyle w:val="17"/>
              <w:spacing w:before="16" w:line="281" w:lineRule="auto"/>
              <w:ind w:left="527"/>
              <w:rPr>
                <w:sz w:val="21"/>
              </w:rPr>
            </w:pPr>
            <w:r>
              <w:rPr>
                <w:sz w:val="21"/>
              </w:rPr>
              <w:t>四</w:t>
            </w:r>
          </w:p>
        </w:tc>
        <w:tc>
          <w:tcPr>
            <w:tcW w:w="1099" w:type="dxa"/>
          </w:tcPr>
          <w:p>
            <w:pPr>
              <w:pStyle w:val="17"/>
              <w:spacing w:before="16" w:line="281" w:lineRule="auto"/>
              <w:ind w:right="309"/>
              <w:jc w:val="right"/>
              <w:rPr>
                <w:sz w:val="21"/>
              </w:rPr>
            </w:pPr>
            <w:r>
              <w:rPr>
                <w:sz w:val="21"/>
              </w:rPr>
              <w:t>28</w:t>
            </w:r>
          </w:p>
        </w:tc>
        <w:tc>
          <w:tcPr>
            <w:tcW w:w="1001" w:type="dxa"/>
          </w:tcPr>
          <w:p>
            <w:pPr>
              <w:pStyle w:val="17"/>
              <w:spacing w:before="16" w:line="281" w:lineRule="auto"/>
              <w:ind w:right="299"/>
              <w:jc w:val="right"/>
              <w:rPr>
                <w:sz w:val="21"/>
              </w:rPr>
            </w:pPr>
            <w:r>
              <w:rPr>
                <w:sz w:val="21"/>
              </w:rPr>
              <w:t>2</w:t>
            </w:r>
          </w:p>
        </w:tc>
        <w:tc>
          <w:tcPr>
            <w:tcW w:w="991" w:type="dxa"/>
          </w:tcPr>
          <w:p>
            <w:pPr>
              <w:pStyle w:val="17"/>
              <w:spacing w:before="16" w:line="281" w:lineRule="auto"/>
              <w:ind w:right="246"/>
              <w:jc w:val="right"/>
              <w:rPr>
                <w:sz w:val="21"/>
              </w:rPr>
            </w:pPr>
            <w:r>
              <w:rPr>
                <w:sz w:val="21"/>
              </w:rPr>
              <w:t>15</w:t>
            </w:r>
          </w:p>
        </w:tc>
        <w:tc>
          <w:tcPr>
            <w:tcW w:w="992" w:type="dxa"/>
          </w:tcPr>
          <w:p>
            <w:pPr>
              <w:pStyle w:val="17"/>
              <w:spacing w:line="281" w:lineRule="auto"/>
              <w:rPr>
                <w:rFonts w:ascii="Times New Roman"/>
              </w:rPr>
            </w:pPr>
          </w:p>
        </w:tc>
        <w:tc>
          <w:tcPr>
            <w:tcW w:w="1099" w:type="dxa"/>
          </w:tcPr>
          <w:p>
            <w:pPr>
              <w:pStyle w:val="17"/>
              <w:spacing w:before="16" w:line="281" w:lineRule="auto"/>
              <w:ind w:left="184"/>
              <w:jc w:val="center"/>
              <w:rPr>
                <w:sz w:val="21"/>
              </w:rPr>
            </w:pPr>
            <w:r>
              <w:rPr>
                <w:sz w:val="21"/>
              </w:rPr>
              <w:t>2</w:t>
            </w:r>
          </w:p>
        </w:tc>
        <w:tc>
          <w:tcPr>
            <w:tcW w:w="1133" w:type="dxa"/>
          </w:tcPr>
          <w:p>
            <w:pPr>
              <w:pStyle w:val="17"/>
              <w:spacing w:before="16" w:line="281" w:lineRule="auto"/>
              <w:ind w:left="73"/>
              <w:jc w:val="center"/>
              <w:rPr>
                <w:sz w:val="21"/>
              </w:rPr>
            </w:pPr>
            <w:r>
              <w:rPr>
                <w:sz w:val="21"/>
              </w:rPr>
              <w:t>5</w:t>
            </w:r>
          </w:p>
        </w:tc>
        <w:tc>
          <w:tcPr>
            <w:tcW w:w="1242" w:type="dxa"/>
          </w:tcPr>
          <w:p>
            <w:pPr>
              <w:pStyle w:val="17"/>
              <w:spacing w:before="16" w:line="281" w:lineRule="auto"/>
              <w:ind w:right="528"/>
              <w:jc w:val="right"/>
              <w:rPr>
                <w:sz w:val="21"/>
              </w:rPr>
            </w:pPr>
            <w:r>
              <w:rPr>
                <w:sz w:val="21"/>
              </w:rPr>
              <w:t>52</w:t>
            </w:r>
          </w:p>
        </w:tc>
      </w:tr>
      <w:tr>
        <w:tblPrEx>
          <w:tblCellMar>
            <w:top w:w="0" w:type="dxa"/>
            <w:left w:w="0" w:type="dxa"/>
            <w:bottom w:w="0" w:type="dxa"/>
            <w:right w:w="0" w:type="dxa"/>
          </w:tblCellMar>
        </w:tblPrEx>
        <w:trPr>
          <w:trHeight w:val="295" w:hRule="atLeast"/>
        </w:trPr>
        <w:tc>
          <w:tcPr>
            <w:tcW w:w="1070" w:type="dxa"/>
          </w:tcPr>
          <w:p>
            <w:pPr>
              <w:pStyle w:val="17"/>
              <w:spacing w:before="16" w:line="281" w:lineRule="auto"/>
              <w:ind w:left="527"/>
              <w:rPr>
                <w:sz w:val="21"/>
              </w:rPr>
            </w:pPr>
            <w:r>
              <w:rPr>
                <w:sz w:val="21"/>
              </w:rPr>
              <w:t>五</w:t>
            </w:r>
          </w:p>
        </w:tc>
        <w:tc>
          <w:tcPr>
            <w:tcW w:w="1099" w:type="dxa"/>
          </w:tcPr>
          <w:p>
            <w:pPr>
              <w:pStyle w:val="17"/>
              <w:spacing w:line="281" w:lineRule="auto"/>
              <w:rPr>
                <w:rFonts w:ascii="Times New Roman"/>
              </w:rPr>
            </w:pPr>
          </w:p>
        </w:tc>
        <w:tc>
          <w:tcPr>
            <w:tcW w:w="1001" w:type="dxa"/>
          </w:tcPr>
          <w:p>
            <w:pPr>
              <w:pStyle w:val="17"/>
              <w:spacing w:line="281" w:lineRule="auto"/>
              <w:rPr>
                <w:rFonts w:ascii="Times New Roman"/>
              </w:rPr>
            </w:pPr>
          </w:p>
        </w:tc>
        <w:tc>
          <w:tcPr>
            <w:tcW w:w="991" w:type="dxa"/>
          </w:tcPr>
          <w:p>
            <w:pPr>
              <w:pStyle w:val="17"/>
              <w:spacing w:before="16" w:line="281" w:lineRule="auto"/>
              <w:ind w:right="246"/>
              <w:jc w:val="right"/>
              <w:rPr>
                <w:sz w:val="21"/>
              </w:rPr>
            </w:pPr>
            <w:r>
              <w:rPr>
                <w:sz w:val="21"/>
              </w:rPr>
              <w:t>37</w:t>
            </w:r>
          </w:p>
        </w:tc>
        <w:tc>
          <w:tcPr>
            <w:tcW w:w="992" w:type="dxa"/>
          </w:tcPr>
          <w:p>
            <w:pPr>
              <w:pStyle w:val="17"/>
              <w:spacing w:before="16" w:line="281" w:lineRule="auto"/>
              <w:ind w:right="247"/>
              <w:jc w:val="right"/>
              <w:rPr>
                <w:sz w:val="21"/>
              </w:rPr>
            </w:pPr>
            <w:r>
              <w:rPr>
                <w:sz w:val="21"/>
              </w:rPr>
              <w:t>10</w:t>
            </w:r>
          </w:p>
        </w:tc>
        <w:tc>
          <w:tcPr>
            <w:tcW w:w="1099" w:type="dxa"/>
          </w:tcPr>
          <w:p>
            <w:pPr>
              <w:pStyle w:val="17"/>
              <w:spacing w:before="16" w:line="281" w:lineRule="auto"/>
              <w:ind w:left="184"/>
              <w:jc w:val="center"/>
              <w:rPr>
                <w:sz w:val="21"/>
              </w:rPr>
            </w:pPr>
            <w:r>
              <w:rPr>
                <w:sz w:val="21"/>
              </w:rPr>
              <w:t>5</w:t>
            </w:r>
          </w:p>
        </w:tc>
        <w:tc>
          <w:tcPr>
            <w:tcW w:w="1133" w:type="dxa"/>
          </w:tcPr>
          <w:p>
            <w:pPr>
              <w:pStyle w:val="17"/>
              <w:spacing w:line="281" w:lineRule="auto"/>
              <w:rPr>
                <w:rFonts w:ascii="Times New Roman"/>
              </w:rPr>
            </w:pPr>
          </w:p>
        </w:tc>
        <w:tc>
          <w:tcPr>
            <w:tcW w:w="1242" w:type="dxa"/>
          </w:tcPr>
          <w:p>
            <w:pPr>
              <w:pStyle w:val="17"/>
              <w:spacing w:before="16" w:line="281" w:lineRule="auto"/>
              <w:ind w:right="528"/>
              <w:jc w:val="right"/>
              <w:rPr>
                <w:sz w:val="21"/>
              </w:rPr>
            </w:pPr>
            <w:r>
              <w:rPr>
                <w:sz w:val="21"/>
              </w:rPr>
              <w:t>52</w:t>
            </w:r>
          </w:p>
        </w:tc>
      </w:tr>
      <w:tr>
        <w:tblPrEx>
          <w:tblCellMar>
            <w:top w:w="0" w:type="dxa"/>
            <w:left w:w="0" w:type="dxa"/>
            <w:bottom w:w="0" w:type="dxa"/>
            <w:right w:w="0" w:type="dxa"/>
          </w:tblCellMar>
        </w:tblPrEx>
        <w:trPr>
          <w:trHeight w:val="283" w:hRule="atLeast"/>
        </w:trPr>
        <w:tc>
          <w:tcPr>
            <w:tcW w:w="1070" w:type="dxa"/>
            <w:tcBorders>
              <w:bottom w:val="single" w:color="000000" w:sz="4" w:space="0"/>
            </w:tcBorders>
          </w:tcPr>
          <w:p>
            <w:pPr>
              <w:pStyle w:val="17"/>
              <w:spacing w:before="11" w:line="281" w:lineRule="auto"/>
              <w:ind w:left="424"/>
              <w:rPr>
                <w:sz w:val="21"/>
              </w:rPr>
            </w:pPr>
            <w:r>
              <w:rPr>
                <w:sz w:val="21"/>
              </w:rPr>
              <w:t>合计</w:t>
            </w:r>
          </w:p>
        </w:tc>
        <w:tc>
          <w:tcPr>
            <w:tcW w:w="1099" w:type="dxa"/>
            <w:tcBorders>
              <w:bottom w:val="single" w:color="000000" w:sz="4" w:space="0"/>
            </w:tcBorders>
          </w:tcPr>
          <w:p>
            <w:pPr>
              <w:pStyle w:val="17"/>
              <w:spacing w:before="11" w:line="281" w:lineRule="auto"/>
              <w:ind w:right="256"/>
              <w:jc w:val="right"/>
              <w:rPr>
                <w:sz w:val="21"/>
              </w:rPr>
            </w:pPr>
            <w:r>
              <w:rPr>
                <w:sz w:val="21"/>
              </w:rPr>
              <w:t>123</w:t>
            </w:r>
          </w:p>
        </w:tc>
        <w:tc>
          <w:tcPr>
            <w:tcW w:w="1001" w:type="dxa"/>
            <w:tcBorders>
              <w:bottom w:val="single" w:color="000000" w:sz="4" w:space="0"/>
            </w:tcBorders>
          </w:tcPr>
          <w:p>
            <w:pPr>
              <w:pStyle w:val="17"/>
              <w:spacing w:before="11" w:line="281" w:lineRule="auto"/>
              <w:ind w:right="246"/>
              <w:jc w:val="right"/>
              <w:rPr>
                <w:sz w:val="21"/>
              </w:rPr>
            </w:pPr>
            <w:r>
              <w:rPr>
                <w:sz w:val="21"/>
              </w:rPr>
              <w:t>14</w:t>
            </w:r>
          </w:p>
        </w:tc>
        <w:tc>
          <w:tcPr>
            <w:tcW w:w="991" w:type="dxa"/>
            <w:tcBorders>
              <w:bottom w:val="single" w:color="000000" w:sz="4" w:space="0"/>
            </w:tcBorders>
          </w:tcPr>
          <w:p>
            <w:pPr>
              <w:pStyle w:val="17"/>
              <w:spacing w:before="11" w:line="281" w:lineRule="auto"/>
              <w:ind w:right="246"/>
              <w:jc w:val="right"/>
              <w:rPr>
                <w:sz w:val="21"/>
              </w:rPr>
            </w:pPr>
            <w:r>
              <w:rPr>
                <w:sz w:val="21"/>
              </w:rPr>
              <w:t>52</w:t>
            </w:r>
          </w:p>
        </w:tc>
        <w:tc>
          <w:tcPr>
            <w:tcW w:w="992" w:type="dxa"/>
            <w:tcBorders>
              <w:bottom w:val="single" w:color="000000" w:sz="4" w:space="0"/>
            </w:tcBorders>
          </w:tcPr>
          <w:p>
            <w:pPr>
              <w:pStyle w:val="17"/>
              <w:spacing w:before="11" w:line="281" w:lineRule="auto"/>
              <w:ind w:right="247"/>
              <w:jc w:val="right"/>
              <w:rPr>
                <w:sz w:val="21"/>
              </w:rPr>
            </w:pPr>
            <w:r>
              <w:rPr>
                <w:sz w:val="21"/>
              </w:rPr>
              <w:t>10</w:t>
            </w:r>
          </w:p>
        </w:tc>
        <w:tc>
          <w:tcPr>
            <w:tcW w:w="1099" w:type="dxa"/>
            <w:tcBorders>
              <w:bottom w:val="single" w:color="000000" w:sz="4" w:space="0"/>
            </w:tcBorders>
          </w:tcPr>
          <w:p>
            <w:pPr>
              <w:pStyle w:val="17"/>
              <w:spacing w:before="11" w:line="281" w:lineRule="auto"/>
              <w:ind w:left="535"/>
              <w:rPr>
                <w:sz w:val="21"/>
              </w:rPr>
            </w:pPr>
            <w:r>
              <w:rPr>
                <w:sz w:val="21"/>
              </w:rPr>
              <w:t>14</w:t>
            </w:r>
          </w:p>
        </w:tc>
        <w:tc>
          <w:tcPr>
            <w:tcW w:w="1133" w:type="dxa"/>
            <w:tcBorders>
              <w:bottom w:val="single" w:color="000000" w:sz="4" w:space="0"/>
            </w:tcBorders>
          </w:tcPr>
          <w:p>
            <w:pPr>
              <w:pStyle w:val="17"/>
              <w:spacing w:before="11" w:line="281" w:lineRule="auto"/>
              <w:ind w:left="337" w:right="264"/>
              <w:jc w:val="center"/>
              <w:rPr>
                <w:sz w:val="21"/>
              </w:rPr>
            </w:pPr>
            <w:r>
              <w:rPr>
                <w:sz w:val="21"/>
              </w:rPr>
              <w:t>47</w:t>
            </w:r>
          </w:p>
        </w:tc>
        <w:tc>
          <w:tcPr>
            <w:tcW w:w="1242" w:type="dxa"/>
            <w:tcBorders>
              <w:bottom w:val="single" w:color="000000" w:sz="4" w:space="0"/>
            </w:tcBorders>
          </w:tcPr>
          <w:p>
            <w:pPr>
              <w:pStyle w:val="17"/>
              <w:spacing w:before="11" w:line="281" w:lineRule="auto"/>
              <w:ind w:right="475"/>
              <w:jc w:val="right"/>
              <w:rPr>
                <w:sz w:val="21"/>
              </w:rPr>
            </w:pPr>
            <w:r>
              <w:rPr>
                <w:sz w:val="21"/>
              </w:rPr>
              <w:t>260</w:t>
            </w:r>
          </w:p>
        </w:tc>
      </w:tr>
    </w:tbl>
    <w:p>
      <w:pPr>
        <w:pStyle w:val="6"/>
        <w:spacing w:before="52" w:line="281" w:lineRule="auto"/>
        <w:rPr>
          <w:b/>
          <w:bCs/>
        </w:rPr>
      </w:pPr>
      <w:r>
        <w:rPr>
          <w:sz w:val="21"/>
        </w:rPr>
        <w:t>注：技能培训安排在 1-8 学期进行；社会实践 2 周，由校团委作统一部署，机动含军训、社</w:t>
      </w:r>
      <w:r>
        <w:rPr>
          <w:rFonts w:hint="eastAsia"/>
          <w:sz w:val="21"/>
        </w:rPr>
        <w:t>会实践、毕业考试等其他环节。</w:t>
      </w:r>
    </w:p>
    <w:p>
      <w:pPr>
        <w:pStyle w:val="10"/>
        <w:autoSpaceDE/>
        <w:autoSpaceDN/>
        <w:spacing w:before="0" w:beforeAutospacing="0" w:after="0" w:afterAutospacing="0" w:line="281" w:lineRule="auto"/>
        <w:ind w:firstLine="480" w:firstLineChars="200"/>
        <w:rPr>
          <w:rStyle w:val="14"/>
          <w:rFonts w:ascii="Times New Roman" w:hAnsi="Times New Roman" w:eastAsiaTheme="minorHAnsi"/>
          <w:szCs w:val="24"/>
          <w:lang w:val="en-US" w:bidi="ar-SA"/>
        </w:rPr>
      </w:pPr>
      <w:r>
        <w:rPr>
          <w:rStyle w:val="14"/>
          <w:rFonts w:hint="eastAsia" w:ascii="Times New Roman" w:hAnsi="Times New Roman" w:eastAsiaTheme="minorHAnsi"/>
          <w:szCs w:val="24"/>
          <w:lang w:val="en-US" w:bidi="ar-SA"/>
        </w:rPr>
        <w:t>七、毕业与学位</w:t>
      </w:r>
    </w:p>
    <w:p>
      <w:pPr>
        <w:pStyle w:val="6"/>
        <w:spacing w:before="0" w:line="281" w:lineRule="auto"/>
        <w:ind w:left="0" w:firstLine="480" w:firstLineChars="200"/>
      </w:pPr>
      <w:r>
        <w:t xml:space="preserve">在学校规定修业年限内，修完全部必修课程并成绩合格，限选课程修满 </w:t>
      </w:r>
      <w:r>
        <w:rPr>
          <w:lang w:val="en-US"/>
        </w:rPr>
        <w:t>22.5</w:t>
      </w:r>
      <w:r>
        <w:t xml:space="preserve"> 学分，任选课修满 20 学分，通过毕业实习、社会实践、创新创业素质拓展等实践教学环节，总学分达</w:t>
      </w:r>
      <w:r>
        <w:rPr>
          <w:rFonts w:hint="eastAsia"/>
          <w:lang w:val="en-US" w:eastAsia="zh-CN"/>
        </w:rPr>
        <w:t xml:space="preserve"> 261</w:t>
      </w:r>
      <w:r>
        <w:t xml:space="preserve"> 学分以上；通过综合考试（包括基础课综合考试、专业课综合考试和毕业综合考试）。符合《广西医科大学学生学籍管理规定》中的毕业条件的准予毕业，发给本科毕业</w:t>
      </w:r>
      <w:bookmarkStart w:id="3" w:name="_GoBack"/>
      <w:bookmarkEnd w:id="3"/>
      <w:r>
        <w:t>证书，符合《广西医科大学授予学士学位工作细则》学士学位条件的授予医学学士学位。</w:t>
      </w:r>
    </w:p>
    <w:p>
      <w:pPr>
        <w:pStyle w:val="6"/>
        <w:spacing w:before="0" w:line="281" w:lineRule="auto"/>
        <w:ind w:left="0" w:firstLine="480" w:firstLineChars="200"/>
      </w:pPr>
      <w:r>
        <w:t>在规定的修业年限内，通过国家临床执业医师资格考试，完成和达到国家卫计委有关住院医师规范化培训内容及要求和临床医学硕士专业学位授予的相关要求，通过学位论文答辩，可获得执业医师资格证、住院医师规范化培训合格证书，授予硕士研究生毕业证书和医学硕士学位。原则上，毕业证书和学位证书于毕业前统一发放。</w:t>
      </w:r>
    </w:p>
    <w:p>
      <w:pPr>
        <w:pStyle w:val="10"/>
        <w:autoSpaceDE/>
        <w:autoSpaceDN/>
        <w:spacing w:before="0" w:beforeAutospacing="0" w:after="0" w:afterAutospacing="0" w:line="281" w:lineRule="auto"/>
        <w:ind w:firstLine="480" w:firstLineChars="200"/>
        <w:rPr>
          <w:rStyle w:val="14"/>
          <w:rFonts w:ascii="Times New Roman" w:hAnsi="Times New Roman" w:eastAsiaTheme="minorHAnsi"/>
          <w:szCs w:val="24"/>
          <w:lang w:val="en-US" w:bidi="ar-SA"/>
        </w:rPr>
      </w:pPr>
      <w:r>
        <w:rPr>
          <w:rStyle w:val="14"/>
          <w:rFonts w:hint="eastAsia" w:ascii="Times New Roman" w:hAnsi="Times New Roman" w:eastAsiaTheme="minorHAnsi"/>
          <w:szCs w:val="24"/>
          <w:lang w:val="en-US" w:bidi="ar-SA"/>
        </w:rPr>
        <w:t>八、毕业去向</w:t>
      </w:r>
    </w:p>
    <w:p>
      <w:pPr>
        <w:pStyle w:val="6"/>
        <w:spacing w:before="0" w:line="281" w:lineRule="auto"/>
        <w:ind w:left="0" w:firstLine="480" w:firstLineChars="200"/>
      </w:pPr>
      <w:r>
        <w:t>临床医学专业（“5+3”一体化）毕业生具有系统的医学专业基础理论和熟练的专业技能，可到医疗卫生、教育及医学研究等相关领域从事医疗、教学及科研工作，可通过参加全国博士研究生考试继续攻读博士研究生。</w:t>
      </w:r>
    </w:p>
    <w:p>
      <w:pPr>
        <w:pStyle w:val="10"/>
        <w:autoSpaceDE/>
        <w:autoSpaceDN/>
        <w:spacing w:before="0" w:beforeAutospacing="0" w:after="0" w:afterAutospacing="0" w:line="281" w:lineRule="auto"/>
        <w:ind w:firstLine="480" w:firstLineChars="200"/>
        <w:rPr>
          <w:rStyle w:val="14"/>
          <w:rFonts w:ascii="Times New Roman" w:hAnsi="Times New Roman" w:eastAsiaTheme="minorHAnsi"/>
          <w:szCs w:val="24"/>
          <w:lang w:val="en-US" w:bidi="ar-SA"/>
        </w:rPr>
      </w:pPr>
      <w:r>
        <w:rPr>
          <w:rStyle w:val="14"/>
          <w:rFonts w:hint="eastAsia" w:ascii="Times New Roman" w:hAnsi="Times New Roman" w:eastAsiaTheme="minorHAnsi"/>
          <w:szCs w:val="24"/>
          <w:lang w:val="en-US" w:bidi="ar-SA"/>
        </w:rPr>
        <w:t>九、教学进程</w:t>
      </w:r>
    </w:p>
    <w:p>
      <w:pPr>
        <w:pStyle w:val="6"/>
        <w:spacing w:before="0" w:line="281" w:lineRule="auto"/>
        <w:ind w:left="0"/>
        <w:rPr>
          <w:rFonts w:ascii="黑体" w:eastAsia="黑体"/>
        </w:rPr>
      </w:pPr>
    </w:p>
    <w:p>
      <w:pPr>
        <w:pStyle w:val="6"/>
        <w:spacing w:before="0" w:line="281" w:lineRule="auto"/>
        <w:ind w:left="0"/>
        <w:rPr>
          <w:rFonts w:ascii="黑体" w:eastAsia="黑体"/>
        </w:rPr>
      </w:pPr>
    </w:p>
    <w:p>
      <w:pPr>
        <w:pStyle w:val="6"/>
        <w:spacing w:before="0" w:line="281" w:lineRule="auto"/>
        <w:ind w:left="0"/>
        <w:rPr>
          <w:rFonts w:ascii="黑体" w:eastAsia="黑体"/>
        </w:rPr>
      </w:pPr>
    </w:p>
    <w:p>
      <w:pPr>
        <w:pStyle w:val="6"/>
        <w:spacing w:before="1" w:line="281" w:lineRule="auto"/>
        <w:ind w:left="0"/>
        <w:rPr>
          <w:rFonts w:eastAsia="黑体"/>
          <w:sz w:val="16"/>
          <w:lang w:val="en-US"/>
        </w:rPr>
      </w:pPr>
      <w:bookmarkStart w:id="2" w:name="_bookmark2"/>
      <w:bookmarkEnd w:id="2"/>
    </w:p>
    <w:sectPr>
      <w:footerReference r:id="rId3" w:type="default"/>
      <w:footerReference r:id="rId4" w:type="even"/>
      <w:pgSz w:w="11900" w:h="16840"/>
      <w:pgMar w:top="1440" w:right="1440" w:bottom="1440" w:left="1440" w:header="0" w:footer="499"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before="0" w:line="14" w:lineRule="auto"/>
      <w:ind w:left="0"/>
      <w:rPr>
        <w:sz w:val="20"/>
      </w:rPr>
    </w:pPr>
    <w:r>
      <w:pict>
        <v:shape id="_x0000_s1065" o:spid="_x0000_s1065" o:spt="202" type="#_x0000_t202" style="position:absolute;left:0pt;margin-left:508.95pt;margin-top:806pt;height:11.15pt;width:16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pPr>
                  <w:spacing w:line="202" w:lineRule="exact"/>
                  <w:ind w:left="40"/>
                  <w:rPr>
                    <w:sz w:val="16"/>
                  </w:rPr>
                </w:pPr>
                <w:r>
                  <w:fldChar w:fldCharType="begin"/>
                </w:r>
                <w:r>
                  <w:rPr>
                    <w:sz w:val="16"/>
                  </w:rPr>
                  <w:instrText xml:space="preserve"> PAGE </w:instrText>
                </w:r>
                <w:r>
                  <w:fldChar w:fldCharType="separate"/>
                </w:r>
                <w:r>
                  <w:t>179</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before="0" w:line="14" w:lineRule="auto"/>
      <w:ind w:left="0"/>
      <w:rPr>
        <w:sz w:val="20"/>
      </w:rPr>
    </w:pPr>
    <w:r>
      <w:pict>
        <v:shape id="_x0000_s1066" o:spid="_x0000_s1066" o:spt="202" type="#_x0000_t202" style="position:absolute;left:0pt;margin-left:70pt;margin-top:806pt;height:11.15pt;width:16pt;mso-position-horizontal-relative:page;mso-position-vertical-relative:page;z-index:-251655168;mso-width-relative:page;mso-height-relative:page;" filled="f" stroked="f" coordsize="21600,21600">
          <v:path/>
          <v:fill on="f" focussize="0,0"/>
          <v:stroke on="f" joinstyle="miter"/>
          <v:imagedata o:title=""/>
          <o:lock v:ext="edit"/>
          <v:textbox inset="0mm,0mm,0mm,0mm">
            <w:txbxContent>
              <w:p>
                <w:pPr>
                  <w:spacing w:line="202" w:lineRule="exact"/>
                  <w:ind w:left="40"/>
                  <w:rPr>
                    <w:sz w:val="16"/>
                  </w:rPr>
                </w:pPr>
                <w:r>
                  <w:fldChar w:fldCharType="begin"/>
                </w:r>
                <w:r>
                  <w:rPr>
                    <w:sz w:val="16"/>
                  </w:rPr>
                  <w:instrText xml:space="preserve"> PAGE </w:instrText>
                </w:r>
                <w:r>
                  <w:fldChar w:fldCharType="separate"/>
                </w:r>
                <w:r>
                  <w:t>180</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797E2D"/>
    <w:multiLevelType w:val="singleLevel"/>
    <w:tmpl w:val="B7797E2D"/>
    <w:lvl w:ilvl="0" w:tentative="0">
      <w:start w:val="1"/>
      <w:numFmt w:val="decimal"/>
      <w:lvlText w:val="%1."/>
      <w:lvlJc w:val="left"/>
      <w:pPr>
        <w:ind w:left="384" w:hanging="425"/>
      </w:pPr>
      <w:rPr>
        <w:rFonts w:hint="default"/>
      </w:rPr>
    </w:lvl>
  </w:abstractNum>
  <w:abstractNum w:abstractNumId="1">
    <w:nsid w:val="39D56C80"/>
    <w:multiLevelType w:val="singleLevel"/>
    <w:tmpl w:val="39D56C80"/>
    <w:lvl w:ilvl="0" w:tentative="0">
      <w:start w:val="1"/>
      <w:numFmt w:val="decimal"/>
      <w:lvlText w:val="%1."/>
      <w:lvlJc w:val="left"/>
      <w:pPr>
        <w:ind w:left="425" w:hanging="425"/>
      </w:pPr>
      <w:rPr>
        <w:rFonts w:hint="default"/>
      </w:rPr>
    </w:lvl>
  </w:abstractNum>
  <w:abstractNum w:abstractNumId="2">
    <w:nsid w:val="3ECC15BD"/>
    <w:multiLevelType w:val="singleLevel"/>
    <w:tmpl w:val="3ECC15BD"/>
    <w:lvl w:ilvl="0" w:tentative="0">
      <w:start w:val="1"/>
      <w:numFmt w:val="decimal"/>
      <w:lvlText w:val="%1."/>
      <w:lvlJc w:val="left"/>
      <w:pPr>
        <w:ind w:left="425" w:hanging="425"/>
      </w:pPr>
      <w:rPr>
        <w:rFonts w:hint="default"/>
      </w:rPr>
    </w:lvl>
  </w:abstractNum>
  <w:abstractNum w:abstractNumId="3">
    <w:nsid w:val="5A241D34"/>
    <w:multiLevelType w:val="multilevel"/>
    <w:tmpl w:val="5A241D34"/>
    <w:lvl w:ilvl="0" w:tentative="0">
      <w:start w:val="1"/>
      <w:numFmt w:val="decimal"/>
      <w:lvlText w:val="%1."/>
      <w:lvlJc w:val="left"/>
      <w:pPr>
        <w:ind w:left="118" w:hanging="241"/>
        <w:jc w:val="left"/>
      </w:pPr>
      <w:rPr>
        <w:rFonts w:hint="default" w:ascii="宋体" w:hAnsi="宋体" w:eastAsia="宋体" w:cs="宋体"/>
        <w:spacing w:val="-1"/>
        <w:w w:val="100"/>
        <w:sz w:val="22"/>
        <w:szCs w:val="22"/>
        <w:lang w:val="zh-CN" w:eastAsia="zh-CN" w:bidi="zh-CN"/>
      </w:rPr>
    </w:lvl>
    <w:lvl w:ilvl="1" w:tentative="0">
      <w:start w:val="0"/>
      <w:numFmt w:val="bullet"/>
      <w:lvlText w:val="•"/>
      <w:lvlJc w:val="left"/>
      <w:pPr>
        <w:ind w:left="1038" w:hanging="241"/>
      </w:pPr>
      <w:rPr>
        <w:rFonts w:hint="default"/>
        <w:lang w:val="zh-CN" w:eastAsia="zh-CN" w:bidi="zh-CN"/>
      </w:rPr>
    </w:lvl>
    <w:lvl w:ilvl="2" w:tentative="0">
      <w:start w:val="0"/>
      <w:numFmt w:val="bullet"/>
      <w:lvlText w:val="•"/>
      <w:lvlJc w:val="left"/>
      <w:pPr>
        <w:ind w:left="1957" w:hanging="241"/>
      </w:pPr>
      <w:rPr>
        <w:rFonts w:hint="default"/>
        <w:lang w:val="zh-CN" w:eastAsia="zh-CN" w:bidi="zh-CN"/>
      </w:rPr>
    </w:lvl>
    <w:lvl w:ilvl="3" w:tentative="0">
      <w:start w:val="0"/>
      <w:numFmt w:val="bullet"/>
      <w:lvlText w:val="•"/>
      <w:lvlJc w:val="left"/>
      <w:pPr>
        <w:ind w:left="2875" w:hanging="241"/>
      </w:pPr>
      <w:rPr>
        <w:rFonts w:hint="default"/>
        <w:lang w:val="zh-CN" w:eastAsia="zh-CN" w:bidi="zh-CN"/>
      </w:rPr>
    </w:lvl>
    <w:lvl w:ilvl="4" w:tentative="0">
      <w:start w:val="0"/>
      <w:numFmt w:val="bullet"/>
      <w:lvlText w:val="•"/>
      <w:lvlJc w:val="left"/>
      <w:pPr>
        <w:ind w:left="3794" w:hanging="241"/>
      </w:pPr>
      <w:rPr>
        <w:rFonts w:hint="default"/>
        <w:lang w:val="zh-CN" w:eastAsia="zh-CN" w:bidi="zh-CN"/>
      </w:rPr>
    </w:lvl>
    <w:lvl w:ilvl="5" w:tentative="0">
      <w:start w:val="0"/>
      <w:numFmt w:val="bullet"/>
      <w:lvlText w:val="•"/>
      <w:lvlJc w:val="left"/>
      <w:pPr>
        <w:ind w:left="4713" w:hanging="241"/>
      </w:pPr>
      <w:rPr>
        <w:rFonts w:hint="default"/>
        <w:lang w:val="zh-CN" w:eastAsia="zh-CN" w:bidi="zh-CN"/>
      </w:rPr>
    </w:lvl>
    <w:lvl w:ilvl="6" w:tentative="0">
      <w:start w:val="0"/>
      <w:numFmt w:val="bullet"/>
      <w:lvlText w:val="•"/>
      <w:lvlJc w:val="left"/>
      <w:pPr>
        <w:ind w:left="5631" w:hanging="241"/>
      </w:pPr>
      <w:rPr>
        <w:rFonts w:hint="default"/>
        <w:lang w:val="zh-CN" w:eastAsia="zh-CN" w:bidi="zh-CN"/>
      </w:rPr>
    </w:lvl>
    <w:lvl w:ilvl="7" w:tentative="0">
      <w:start w:val="0"/>
      <w:numFmt w:val="bullet"/>
      <w:lvlText w:val="•"/>
      <w:lvlJc w:val="left"/>
      <w:pPr>
        <w:ind w:left="6550" w:hanging="241"/>
      </w:pPr>
      <w:rPr>
        <w:rFonts w:hint="default"/>
        <w:lang w:val="zh-CN" w:eastAsia="zh-CN" w:bidi="zh-CN"/>
      </w:rPr>
    </w:lvl>
    <w:lvl w:ilvl="8" w:tentative="0">
      <w:start w:val="0"/>
      <w:numFmt w:val="bullet"/>
      <w:lvlText w:val="•"/>
      <w:lvlJc w:val="left"/>
      <w:pPr>
        <w:ind w:left="7469" w:hanging="241"/>
      </w:pPr>
      <w:rPr>
        <w:rFonts w:hint="default"/>
        <w:lang w:val="zh-CN" w:eastAsia="zh-CN" w:bidi="zh-CN"/>
      </w:rPr>
    </w:lvl>
  </w:abstractNum>
  <w:abstractNum w:abstractNumId="4">
    <w:nsid w:val="720478E7"/>
    <w:multiLevelType w:val="singleLevel"/>
    <w:tmpl w:val="720478E7"/>
    <w:lvl w:ilvl="0" w:tentative="0">
      <w:start w:val="1"/>
      <w:numFmt w:val="decimal"/>
      <w:lvlText w:val="%1."/>
      <w:lvlJc w:val="left"/>
      <w:pPr>
        <w:ind w:left="425" w:hanging="425"/>
      </w:pPr>
      <w:rPr>
        <w:rFont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720"/>
  <w:evenAndOddHeaders w:val="1"/>
  <w:drawingGridHorizontalSpacing w:val="110"/>
  <w:displayHorizontalDrawingGridEvery w:val="2"/>
  <w:characterSpacingControl w:val="doNotCompress"/>
  <w:hdrShapeDefaults>
    <o:shapelayout v:ext="edit">
      <o:idmap v:ext="edit" data="1"/>
    </o:shapelayout>
  </w:hdrShapeDefaults>
  <w:compat>
    <w:ulTrailSpace/>
    <w:shapeLayoutLikeWW8/>
    <w:useFELayout/>
    <w:compatSetting w:name="compatibilityMode" w:uri="http://schemas.microsoft.com/office/word" w:val="12"/>
  </w:compat>
  <w:docVars>
    <w:docVar w:name="commondata" w:val="eyJoZGlkIjoiYzAzYjMxM2NiY2U5ODc2MjQ0MDIzZjgwYjA4MDY1ZDkifQ=="/>
  </w:docVars>
  <w:rsids>
    <w:rsidRoot w:val="00E7507A"/>
    <w:rsid w:val="00882F31"/>
    <w:rsid w:val="008F1425"/>
    <w:rsid w:val="00E550F9"/>
    <w:rsid w:val="00E7507A"/>
    <w:rsid w:val="011D098D"/>
    <w:rsid w:val="023B1F24"/>
    <w:rsid w:val="02614383"/>
    <w:rsid w:val="07D975E2"/>
    <w:rsid w:val="097875EB"/>
    <w:rsid w:val="0C243FA4"/>
    <w:rsid w:val="0D610F9A"/>
    <w:rsid w:val="0D6517A4"/>
    <w:rsid w:val="0DC77FAD"/>
    <w:rsid w:val="0DFE5AA4"/>
    <w:rsid w:val="0E1C78AB"/>
    <w:rsid w:val="0FF37527"/>
    <w:rsid w:val="14EA3B4D"/>
    <w:rsid w:val="186A063A"/>
    <w:rsid w:val="18B632B5"/>
    <w:rsid w:val="18F67835"/>
    <w:rsid w:val="195F21A3"/>
    <w:rsid w:val="19CF2345"/>
    <w:rsid w:val="1A0C56B1"/>
    <w:rsid w:val="1B1458EC"/>
    <w:rsid w:val="1C136941"/>
    <w:rsid w:val="1DEE7888"/>
    <w:rsid w:val="209D7BF7"/>
    <w:rsid w:val="214B3C9D"/>
    <w:rsid w:val="21A95247"/>
    <w:rsid w:val="263664E8"/>
    <w:rsid w:val="276F34E1"/>
    <w:rsid w:val="28E62B38"/>
    <w:rsid w:val="2D4D7B07"/>
    <w:rsid w:val="2E61247E"/>
    <w:rsid w:val="2EA9566F"/>
    <w:rsid w:val="2F897B3C"/>
    <w:rsid w:val="2FDC11D5"/>
    <w:rsid w:val="323E037D"/>
    <w:rsid w:val="35EB410D"/>
    <w:rsid w:val="380D4C6E"/>
    <w:rsid w:val="38455A8B"/>
    <w:rsid w:val="3A077D5A"/>
    <w:rsid w:val="3ACB1C3A"/>
    <w:rsid w:val="3C4C461E"/>
    <w:rsid w:val="3FE62F46"/>
    <w:rsid w:val="422A7B4D"/>
    <w:rsid w:val="440917CE"/>
    <w:rsid w:val="44650546"/>
    <w:rsid w:val="45C2075D"/>
    <w:rsid w:val="47A142E9"/>
    <w:rsid w:val="496B10C3"/>
    <w:rsid w:val="4BC06ED0"/>
    <w:rsid w:val="4D662315"/>
    <w:rsid w:val="4DC22D80"/>
    <w:rsid w:val="4E730317"/>
    <w:rsid w:val="53242E06"/>
    <w:rsid w:val="538735E0"/>
    <w:rsid w:val="59D12179"/>
    <w:rsid w:val="608F71CD"/>
    <w:rsid w:val="617422C7"/>
    <w:rsid w:val="63D3417B"/>
    <w:rsid w:val="650C3015"/>
    <w:rsid w:val="651B2838"/>
    <w:rsid w:val="652E68CB"/>
    <w:rsid w:val="65B703E7"/>
    <w:rsid w:val="67D67CC1"/>
    <w:rsid w:val="6C984D1C"/>
    <w:rsid w:val="6CBA56EB"/>
    <w:rsid w:val="702D552A"/>
    <w:rsid w:val="73857909"/>
    <w:rsid w:val="75F70416"/>
    <w:rsid w:val="761D53B8"/>
    <w:rsid w:val="766B5AF1"/>
    <w:rsid w:val="76BD4AA0"/>
    <w:rsid w:val="77A44D37"/>
    <w:rsid w:val="780303A7"/>
    <w:rsid w:val="788444BD"/>
    <w:rsid w:val="7A701E5F"/>
    <w:rsid w:val="7AE04154"/>
    <w:rsid w:val="7AE27DA9"/>
    <w:rsid w:val="7B9C5FB8"/>
    <w:rsid w:val="7CD028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spacing w:before="68"/>
      <w:ind w:left="1355" w:right="1355"/>
      <w:jc w:val="center"/>
      <w:outlineLvl w:val="0"/>
    </w:pPr>
    <w:rPr>
      <w:sz w:val="32"/>
      <w:szCs w:val="32"/>
    </w:rPr>
  </w:style>
  <w:style w:type="paragraph" w:styleId="3">
    <w:name w:val="heading 2"/>
    <w:basedOn w:val="1"/>
    <w:next w:val="1"/>
    <w:qFormat/>
    <w:uiPriority w:val="1"/>
    <w:pPr>
      <w:ind w:left="1766" w:right="1777"/>
      <w:jc w:val="center"/>
      <w:outlineLvl w:val="1"/>
    </w:pPr>
    <w:rPr>
      <w:b/>
      <w:bCs/>
      <w:sz w:val="30"/>
      <w:szCs w:val="30"/>
    </w:rPr>
  </w:style>
  <w:style w:type="paragraph" w:styleId="4">
    <w:name w:val="heading 3"/>
    <w:basedOn w:val="1"/>
    <w:next w:val="1"/>
    <w:qFormat/>
    <w:uiPriority w:val="1"/>
    <w:pPr>
      <w:ind w:left="115"/>
      <w:jc w:val="both"/>
      <w:outlineLvl w:val="2"/>
    </w:pPr>
    <w:rPr>
      <w:sz w:val="28"/>
      <w:szCs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style>
  <w:style w:type="paragraph" w:styleId="6">
    <w:name w:val="Body Text"/>
    <w:basedOn w:val="1"/>
    <w:qFormat/>
    <w:uiPriority w:val="1"/>
    <w:pPr>
      <w:spacing w:before="53"/>
      <w:ind w:left="598"/>
    </w:pPr>
    <w:rPr>
      <w:sz w:val="24"/>
      <w:szCs w:val="24"/>
    </w:rPr>
  </w:style>
  <w:style w:type="paragraph" w:styleId="7">
    <w:name w:val="footer"/>
    <w:basedOn w:val="1"/>
    <w:link w:val="20"/>
    <w:qFormat/>
    <w:uiPriority w:val="0"/>
    <w:pPr>
      <w:tabs>
        <w:tab w:val="center" w:pos="4153"/>
        <w:tab w:val="right" w:pos="8306"/>
      </w:tabs>
      <w:snapToGrid w:val="0"/>
    </w:pPr>
    <w:rPr>
      <w:sz w:val="18"/>
      <w:szCs w:val="18"/>
    </w:rPr>
  </w:style>
  <w:style w:type="paragraph" w:styleId="8">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1"/>
    <w:pPr>
      <w:spacing w:before="293"/>
      <w:ind w:left="118"/>
    </w:pPr>
    <w:rPr>
      <w:sz w:val="24"/>
      <w:szCs w:val="24"/>
    </w:rPr>
  </w:style>
  <w:style w:type="paragraph" w:styleId="10">
    <w:name w:val="Normal (Web)"/>
    <w:basedOn w:val="1"/>
    <w:qFormat/>
    <w:uiPriority w:val="99"/>
    <w:pPr>
      <w:widowControl/>
      <w:spacing w:before="100" w:beforeAutospacing="1" w:after="100" w:afterAutospacing="1"/>
    </w:pPr>
    <w:rPr>
      <w:sz w:val="24"/>
    </w:rPr>
  </w:style>
  <w:style w:type="paragraph" w:styleId="11">
    <w:name w:val="Body Text First Indent"/>
    <w:basedOn w:val="6"/>
    <w:qFormat/>
    <w:uiPriority w:val="99"/>
    <w:pPr>
      <w:ind w:firstLine="420" w:firstLineChars="100"/>
    </w:pPr>
  </w:style>
  <w:style w:type="character" w:styleId="14">
    <w:name w:val="Strong"/>
    <w:qFormat/>
    <w:uiPriority w:val="99"/>
    <w:rPr>
      <w:rFonts w:cs="Times New Roman"/>
      <w:b/>
      <w:bCs/>
    </w:rPr>
  </w:style>
  <w:style w:type="table" w:customStyle="1" w:styleId="15">
    <w:name w:val="Table Normal"/>
    <w:semiHidden/>
    <w:unhideWhenUsed/>
    <w:qFormat/>
    <w:uiPriority w:val="2"/>
    <w:tblPr>
      <w:tblCellMar>
        <w:top w:w="0" w:type="dxa"/>
        <w:left w:w="0" w:type="dxa"/>
        <w:bottom w:w="0" w:type="dxa"/>
        <w:right w:w="0" w:type="dxa"/>
      </w:tblCellMar>
    </w:tblPr>
  </w:style>
  <w:style w:type="paragraph" w:styleId="16">
    <w:name w:val="List Paragraph"/>
    <w:basedOn w:val="1"/>
    <w:qFormat/>
    <w:uiPriority w:val="1"/>
    <w:pPr>
      <w:spacing w:before="53"/>
      <w:ind w:left="118" w:firstLine="480"/>
    </w:pPr>
  </w:style>
  <w:style w:type="paragraph" w:customStyle="1" w:styleId="17">
    <w:name w:val="Table Paragraph"/>
    <w:basedOn w:val="1"/>
    <w:qFormat/>
    <w:uiPriority w:val="1"/>
  </w:style>
  <w:style w:type="paragraph" w:customStyle="1" w:styleId="18">
    <w:name w:val="Revision"/>
    <w:hidden/>
    <w:semiHidden/>
    <w:qFormat/>
    <w:uiPriority w:val="99"/>
    <w:rPr>
      <w:rFonts w:ascii="宋体" w:hAnsi="宋体" w:eastAsia="宋体" w:cs="宋体"/>
      <w:sz w:val="22"/>
      <w:szCs w:val="22"/>
      <w:lang w:val="zh-CN" w:eastAsia="zh-CN" w:bidi="zh-CN"/>
    </w:rPr>
  </w:style>
  <w:style w:type="character" w:customStyle="1" w:styleId="19">
    <w:name w:val="页眉 字符"/>
    <w:basedOn w:val="13"/>
    <w:link w:val="8"/>
    <w:qFormat/>
    <w:uiPriority w:val="0"/>
    <w:rPr>
      <w:rFonts w:ascii="宋体" w:hAnsi="宋体" w:eastAsia="宋体" w:cs="宋体"/>
      <w:sz w:val="18"/>
      <w:szCs w:val="18"/>
      <w:lang w:val="zh-CN" w:bidi="zh-CN"/>
    </w:rPr>
  </w:style>
  <w:style w:type="character" w:customStyle="1" w:styleId="20">
    <w:name w:val="页脚 字符"/>
    <w:basedOn w:val="13"/>
    <w:link w:val="7"/>
    <w:qFormat/>
    <w:uiPriority w:val="0"/>
    <w:rPr>
      <w:rFonts w:ascii="宋体" w:hAnsi="宋体" w:eastAsia="宋体" w:cs="宋体"/>
      <w:sz w:val="18"/>
      <w:szCs w:val="18"/>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65"/>
    <customShpInfo spid="_x0000_s106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4111</Words>
  <Characters>4199</Characters>
  <Lines>32</Lines>
  <Paragraphs>9</Paragraphs>
  <TotalTime>4</TotalTime>
  <ScaleCrop>false</ScaleCrop>
  <LinksUpToDate>false</LinksUpToDate>
  <CharactersWithSpaces>4306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2022-10-19T08:10:00Z</dcterms:created>
  <dc:creator>star</dc:creator>
  <cp:lastModifiedBy>六月初</cp:lastModifiedBy>
  <dcterms:modified xsi:type="dcterms:W3CDTF">2022-11-24T08:25:44Z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2021-10-06T00:00:00Z</vt:filetime>
  </property>
  <property fmtid="{D5CDD505-2E9C-101B-9397-08002B2CF9AE}" pid="3" name="Creator">
    <vt:lpwstr>Microsoft® Word 适用于 Microsoft 365</vt:lpwstr>
  </property>
  <property fmtid="{D5CDD505-2E9C-101B-9397-08002B2CF9AE}" pid="4" name="LastSaved">
    <vt:filetime>2022-10-19T00:00:00Z</vt:filetime>
  </property>
  <property fmtid="{D5CDD505-2E9C-101B-9397-08002B2CF9AE}" pid="5" name="KSOProductBuildVer">
    <vt:lpwstr>2052-11.1.0.12763</vt:lpwstr>
  </property>
  <property fmtid="{D5CDD505-2E9C-101B-9397-08002B2CF9AE}" pid="6" name="ICV">
    <vt:lpwstr>4375A2E75D394242B6CF154728C96927</vt:lpwstr>
  </property>
</Properties>
</file>