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jc w:val="center"/>
        <w:rPr>
          <w:rFonts w:ascii="Times New Roman" w:hAnsi="Times New Roman"/>
        </w:rPr>
      </w:pPr>
      <w:r>
        <w:rPr>
          <w:rFonts w:ascii="Times New Roman" w:hAnsi="Times New Roman"/>
        </w:rPr>
        <w:t>五年制临床药学专业人才培养方案</w:t>
      </w:r>
    </w:p>
    <w:p>
      <w:pPr>
        <w:pStyle w:val="14"/>
        <w:spacing w:before="0" w:beforeAutospacing="0" w:after="0" w:afterAutospacing="0" w:line="360" w:lineRule="auto"/>
        <w:ind w:firstLine="482" w:firstLineChars="200"/>
        <w:jc w:val="both"/>
        <w:rPr>
          <w:rFonts w:ascii="Times New Roman" w:hAnsi="Times New Roman" w:eastAsiaTheme="minorEastAsia"/>
        </w:rPr>
      </w:pPr>
      <w:r>
        <w:rPr>
          <w:rStyle w:val="18"/>
          <w:rFonts w:ascii="Times New Roman" w:hAnsi="Times New Roman" w:eastAsiaTheme="minorEastAsia"/>
        </w:rPr>
        <w:t xml:space="preserve">一、培养目标 </w:t>
      </w:r>
    </w:p>
    <w:p>
      <w:pPr>
        <w:spacing w:line="360" w:lineRule="auto"/>
        <w:ind w:right="-2" w:rightChars="-1" w:firstLine="480" w:firstLineChars="200"/>
        <w:rPr>
          <w:rFonts w:eastAsiaTheme="minorEastAsia"/>
          <w:sz w:val="24"/>
          <w:highlight w:val="none"/>
        </w:rPr>
      </w:pPr>
      <w:r>
        <w:rPr>
          <w:rFonts w:eastAsiaTheme="minorEastAsia"/>
          <w:sz w:val="24"/>
          <w:highlight w:val="none"/>
        </w:rPr>
        <w:t>培养德智体美劳全面发展，</w:t>
      </w:r>
      <w:r>
        <w:rPr>
          <w:rFonts w:eastAsiaTheme="minorEastAsia"/>
          <w:color w:val="000000" w:themeColor="text1"/>
          <w:sz w:val="24"/>
          <w:highlight w:val="none"/>
        </w:rPr>
        <w:t>临床药学理论厚实、技能突出，</w:t>
      </w:r>
      <w:r>
        <w:rPr>
          <w:rFonts w:hint="eastAsia" w:eastAsiaTheme="minorEastAsia"/>
          <w:color w:val="000000" w:themeColor="text1"/>
          <w:sz w:val="24"/>
          <w:highlight w:val="none"/>
          <w:lang w:val="en-US" w:eastAsia="zh-CN"/>
        </w:rPr>
        <w:t>具备</w:t>
      </w:r>
      <w:r>
        <w:rPr>
          <w:rFonts w:eastAsiaTheme="minorEastAsia"/>
          <w:color w:val="000000" w:themeColor="text1"/>
          <w:sz w:val="24"/>
          <w:highlight w:val="none"/>
        </w:rPr>
        <w:t>良好的创新意识和批判思维、较强的人际交流能力</w:t>
      </w:r>
      <w:r>
        <w:rPr>
          <w:rFonts w:hint="eastAsia" w:eastAsiaTheme="minorEastAsia"/>
          <w:color w:val="000000" w:themeColor="text1"/>
          <w:sz w:val="24"/>
          <w:highlight w:val="none"/>
        </w:rPr>
        <w:t>和团队合作精神</w:t>
      </w:r>
      <w:r>
        <w:rPr>
          <w:rFonts w:hint="eastAsia" w:eastAsiaTheme="minorEastAsia"/>
          <w:color w:val="000000" w:themeColor="text1"/>
          <w:sz w:val="24"/>
          <w:highlight w:val="none"/>
          <w:lang w:eastAsia="zh-CN"/>
        </w:rPr>
        <w:t>，</w:t>
      </w:r>
      <w:r>
        <w:rPr>
          <w:rFonts w:hint="eastAsia" w:eastAsiaTheme="minorEastAsia"/>
          <w:color w:val="000000" w:themeColor="text1"/>
          <w:sz w:val="24"/>
          <w:highlight w:val="none"/>
          <w:lang w:val="en-US" w:eastAsia="zh-CN"/>
        </w:rPr>
        <w:t>具有</w:t>
      </w:r>
      <w:r>
        <w:rPr>
          <w:rFonts w:eastAsiaTheme="minorEastAsia"/>
          <w:color w:val="000000" w:themeColor="text1"/>
          <w:sz w:val="24"/>
          <w:highlight w:val="none"/>
        </w:rPr>
        <w:t>大健康理念和国际视野，能够从事以合理用药为核心的药学服务工作高素质专门人才。</w:t>
      </w:r>
    </w:p>
    <w:p>
      <w:pPr>
        <w:pStyle w:val="14"/>
        <w:spacing w:before="0" w:beforeAutospacing="0" w:after="0" w:afterAutospacing="0" w:line="360" w:lineRule="auto"/>
        <w:ind w:firstLine="482" w:firstLineChars="200"/>
        <w:jc w:val="both"/>
        <w:rPr>
          <w:rFonts w:ascii="Times New Roman" w:hAnsi="Times New Roman" w:eastAsiaTheme="minorEastAsia"/>
        </w:rPr>
      </w:pPr>
      <w:r>
        <w:rPr>
          <w:rStyle w:val="18"/>
          <w:rFonts w:ascii="Times New Roman" w:hAnsi="Times New Roman" w:eastAsiaTheme="minorEastAsia"/>
        </w:rPr>
        <w:t>二、培养要求</w:t>
      </w:r>
    </w:p>
    <w:p>
      <w:pPr>
        <w:pStyle w:val="14"/>
        <w:spacing w:before="0" w:beforeAutospacing="0" w:after="0" w:afterAutospacing="0" w:line="360" w:lineRule="auto"/>
        <w:ind w:firstLine="360" w:firstLineChars="150"/>
        <w:jc w:val="both"/>
        <w:rPr>
          <w:rFonts w:ascii="Times New Roman" w:hAnsi="Times New Roman" w:eastAsiaTheme="minorEastAsia"/>
        </w:rPr>
      </w:pPr>
      <w:r>
        <w:rPr>
          <w:rFonts w:ascii="Times New Roman" w:hAnsi="Times New Roman" w:eastAsiaTheme="minorEastAsia"/>
        </w:rPr>
        <w:t>（一）思想道德与职业素质要求</w:t>
      </w:r>
    </w:p>
    <w:p>
      <w:pPr>
        <w:spacing w:line="360" w:lineRule="auto"/>
        <w:ind w:firstLine="480" w:firstLineChars="200"/>
        <w:rPr>
          <w:rFonts w:eastAsiaTheme="minorEastAsia"/>
          <w:sz w:val="24"/>
        </w:rPr>
      </w:pPr>
      <w:r>
        <w:rPr>
          <w:rFonts w:eastAsiaTheme="minorEastAsia"/>
          <w:sz w:val="24"/>
        </w:rPr>
        <w:t>1. 热爱祖国、遵纪守法；树立科学的世界观、人生观和价值观，愿为祖国卫生事业的发展和人类身心健康奋斗终身。</w:t>
      </w:r>
    </w:p>
    <w:p>
      <w:pPr>
        <w:spacing w:line="360" w:lineRule="auto"/>
        <w:ind w:firstLine="480" w:firstLineChars="200"/>
        <w:rPr>
          <w:rFonts w:eastAsiaTheme="minorEastAsia"/>
          <w:sz w:val="24"/>
        </w:rPr>
      </w:pPr>
      <w:r>
        <w:rPr>
          <w:rFonts w:eastAsiaTheme="minorEastAsia"/>
          <w:sz w:val="24"/>
        </w:rPr>
        <w:t>2. 了解国家卫生政策和医药法规，</w:t>
      </w:r>
      <w:r>
        <w:rPr>
          <w:rFonts w:eastAsiaTheme="minorEastAsia"/>
          <w:kern w:val="0"/>
          <w:sz w:val="24"/>
        </w:rPr>
        <w:t>树立依法从业的职业观念，</w:t>
      </w:r>
      <w:r>
        <w:rPr>
          <w:rFonts w:eastAsiaTheme="minorEastAsia"/>
          <w:sz w:val="24"/>
        </w:rPr>
        <w:t>培养良好的职业素养和职业道德。</w:t>
      </w:r>
    </w:p>
    <w:p>
      <w:pPr>
        <w:pStyle w:val="14"/>
        <w:spacing w:before="0" w:beforeAutospacing="0" w:after="0" w:afterAutospacing="0" w:line="360" w:lineRule="auto"/>
        <w:ind w:firstLine="480" w:firstLineChars="200"/>
        <w:jc w:val="both"/>
        <w:rPr>
          <w:rFonts w:ascii="Times New Roman" w:hAnsi="Times New Roman" w:eastAsiaTheme="minorEastAsia"/>
          <w:kern w:val="2"/>
        </w:rPr>
      </w:pPr>
      <w:r>
        <w:rPr>
          <w:rFonts w:ascii="Times New Roman" w:hAnsi="Times New Roman" w:eastAsiaTheme="minorEastAsia"/>
          <w:kern w:val="2"/>
        </w:rPr>
        <w:t>3. 关爱病人，与医师和护师合作，将预防疾病、驱除病痛作为自己的终身责任，将维护民众的健康利益作为自己的职业责任。</w:t>
      </w:r>
    </w:p>
    <w:p>
      <w:pPr>
        <w:pStyle w:val="14"/>
        <w:spacing w:before="0" w:beforeAutospacing="0" w:after="0" w:afterAutospacing="0" w:line="360" w:lineRule="auto"/>
        <w:ind w:firstLine="480" w:firstLineChars="200"/>
        <w:jc w:val="both"/>
        <w:rPr>
          <w:rFonts w:ascii="Times New Roman" w:hAnsi="Times New Roman" w:eastAsiaTheme="minorEastAsia"/>
          <w:kern w:val="2"/>
        </w:rPr>
      </w:pPr>
      <w:r>
        <w:rPr>
          <w:rFonts w:ascii="Times New Roman" w:hAnsi="Times New Roman" w:eastAsiaTheme="minorEastAsia"/>
          <w:kern w:val="2"/>
        </w:rPr>
        <w:t>4. 以病人为中心，以健康为本，认识到提高患者的生存质量是临床药师的神圣职责和对社会的基本责任，在职责范围内确保药品安全、有效、经济、合理。</w:t>
      </w:r>
    </w:p>
    <w:p>
      <w:pPr>
        <w:pStyle w:val="14"/>
        <w:spacing w:before="0" w:beforeAutospacing="0" w:after="0" w:afterAutospacing="0" w:line="360" w:lineRule="auto"/>
        <w:ind w:firstLine="480" w:firstLineChars="200"/>
        <w:jc w:val="both"/>
        <w:rPr>
          <w:rFonts w:ascii="Times New Roman" w:hAnsi="Times New Roman" w:eastAsiaTheme="minorEastAsia"/>
        </w:rPr>
      </w:pPr>
      <w:r>
        <w:rPr>
          <w:rFonts w:ascii="Times New Roman" w:hAnsi="Times New Roman" w:eastAsiaTheme="minorEastAsia"/>
        </w:rPr>
        <w:t>5. 心理健康、体格健全，能够胜任临床药学领域相关工作。</w:t>
      </w:r>
    </w:p>
    <w:p>
      <w:pPr>
        <w:pStyle w:val="14"/>
        <w:spacing w:before="0" w:beforeAutospacing="0" w:after="0" w:afterAutospacing="0" w:line="360" w:lineRule="auto"/>
        <w:ind w:firstLine="480" w:firstLineChars="200"/>
        <w:jc w:val="both"/>
        <w:rPr>
          <w:rFonts w:ascii="Times New Roman" w:hAnsi="Times New Roman" w:eastAsiaTheme="minorEastAsia"/>
        </w:rPr>
      </w:pPr>
      <w:r>
        <w:rPr>
          <w:rFonts w:ascii="Times New Roman" w:hAnsi="Times New Roman" w:eastAsiaTheme="minorEastAsia"/>
        </w:rPr>
        <w:t>6. 树立终身学习的理念，具备自主学习的能力。</w:t>
      </w:r>
    </w:p>
    <w:p>
      <w:pPr>
        <w:spacing w:line="360" w:lineRule="auto"/>
        <w:ind w:firstLine="360" w:firstLineChars="150"/>
        <w:rPr>
          <w:rFonts w:eastAsiaTheme="minorEastAsia"/>
          <w:kern w:val="0"/>
          <w:sz w:val="24"/>
        </w:rPr>
      </w:pPr>
      <w:r>
        <w:rPr>
          <w:rFonts w:eastAsiaTheme="minorEastAsia"/>
          <w:kern w:val="0"/>
          <w:sz w:val="24"/>
        </w:rPr>
        <w:t>（二）知识要求</w:t>
      </w:r>
    </w:p>
    <w:p>
      <w:pPr>
        <w:spacing w:line="360" w:lineRule="auto"/>
        <w:ind w:firstLine="480" w:firstLineChars="200"/>
        <w:rPr>
          <w:rFonts w:eastAsiaTheme="minorEastAsia"/>
          <w:sz w:val="24"/>
        </w:rPr>
      </w:pPr>
      <w:r>
        <w:rPr>
          <w:rFonts w:eastAsiaTheme="minorEastAsia"/>
          <w:kern w:val="0"/>
          <w:sz w:val="24"/>
        </w:rPr>
        <w:t>1</w:t>
      </w:r>
      <w:r>
        <w:rPr>
          <w:rFonts w:eastAsiaTheme="minorEastAsia"/>
          <w:sz w:val="24"/>
        </w:rPr>
        <w:t>. 掌握与临床药学相关的化学、生物学和人文社会科学等基础知识。</w:t>
      </w:r>
    </w:p>
    <w:p>
      <w:pPr>
        <w:spacing w:line="360" w:lineRule="auto"/>
        <w:ind w:firstLine="480" w:firstLineChars="200"/>
        <w:rPr>
          <w:rFonts w:eastAsiaTheme="minorEastAsia"/>
          <w:sz w:val="24"/>
        </w:rPr>
      </w:pPr>
      <w:r>
        <w:rPr>
          <w:rFonts w:eastAsiaTheme="minorEastAsia"/>
          <w:sz w:val="24"/>
        </w:rPr>
        <w:t>2. 掌握与临床合理用药相关的药物化学、药剂学、药理学等学科的基本知识和理论。</w:t>
      </w:r>
    </w:p>
    <w:p>
      <w:pPr>
        <w:spacing w:line="360" w:lineRule="auto"/>
        <w:ind w:firstLine="480" w:firstLineChars="200"/>
        <w:rPr>
          <w:rFonts w:eastAsiaTheme="minorEastAsia"/>
          <w:sz w:val="24"/>
        </w:rPr>
      </w:pPr>
      <w:r>
        <w:rPr>
          <w:rFonts w:eastAsiaTheme="minorEastAsia"/>
          <w:sz w:val="24"/>
        </w:rPr>
        <w:t>3. 熟悉疾病的发生机制、诊断标准与临床处置方法的基本知识和理论。</w:t>
      </w:r>
    </w:p>
    <w:p>
      <w:pPr>
        <w:spacing w:line="360" w:lineRule="auto"/>
        <w:ind w:firstLine="480" w:firstLineChars="200"/>
        <w:rPr>
          <w:rFonts w:eastAsiaTheme="minorEastAsia"/>
          <w:sz w:val="24"/>
        </w:rPr>
      </w:pPr>
      <w:r>
        <w:rPr>
          <w:rFonts w:eastAsiaTheme="minorEastAsia"/>
          <w:sz w:val="24"/>
        </w:rPr>
        <w:t>4. 掌握药物在人体正常状态及疾病状态下的药物动力学、药效学规律和药物的作用机制等方面的基本知识和理论。</w:t>
      </w:r>
    </w:p>
    <w:p>
      <w:pPr>
        <w:spacing w:line="360" w:lineRule="auto"/>
        <w:ind w:firstLine="480" w:firstLineChars="200"/>
        <w:rPr>
          <w:rFonts w:eastAsiaTheme="minorEastAsia"/>
          <w:sz w:val="24"/>
        </w:rPr>
      </w:pPr>
      <w:r>
        <w:rPr>
          <w:rFonts w:eastAsiaTheme="minorEastAsia"/>
          <w:sz w:val="24"/>
        </w:rPr>
        <w:t>5. 掌握临床药物安全性评价的基本知识和理论。</w:t>
      </w:r>
    </w:p>
    <w:p>
      <w:pPr>
        <w:spacing w:line="360" w:lineRule="auto"/>
        <w:ind w:firstLine="480" w:firstLineChars="200"/>
        <w:rPr>
          <w:rFonts w:eastAsiaTheme="minorEastAsia"/>
          <w:sz w:val="24"/>
        </w:rPr>
      </w:pPr>
      <w:r>
        <w:rPr>
          <w:rFonts w:eastAsiaTheme="minorEastAsia"/>
          <w:sz w:val="24"/>
        </w:rPr>
        <w:t>6. 掌握临床药物治疗学的基本知识和理论。</w:t>
      </w:r>
    </w:p>
    <w:p>
      <w:pPr>
        <w:spacing w:line="360" w:lineRule="auto"/>
        <w:ind w:firstLine="480" w:firstLineChars="200"/>
        <w:rPr>
          <w:rFonts w:eastAsiaTheme="minorEastAsia"/>
          <w:kern w:val="0"/>
          <w:sz w:val="24"/>
        </w:rPr>
      </w:pPr>
      <w:r>
        <w:rPr>
          <w:rFonts w:eastAsiaTheme="minorEastAsia"/>
          <w:sz w:val="24"/>
        </w:rPr>
        <w:t>7. 掌握药物经济学的基本知识和理论及药事管理的相关法规、政策。</w:t>
      </w:r>
    </w:p>
    <w:p>
      <w:pPr>
        <w:spacing w:line="360" w:lineRule="auto"/>
        <w:ind w:firstLine="360" w:firstLineChars="150"/>
        <w:rPr>
          <w:rFonts w:eastAsiaTheme="minorEastAsia"/>
          <w:kern w:val="0"/>
          <w:sz w:val="24"/>
        </w:rPr>
      </w:pPr>
      <w:r>
        <w:rPr>
          <w:rFonts w:eastAsiaTheme="minorEastAsia"/>
          <w:kern w:val="0"/>
          <w:sz w:val="24"/>
        </w:rPr>
        <w:t>（三）技能要求</w:t>
      </w:r>
    </w:p>
    <w:p>
      <w:pPr>
        <w:pStyle w:val="14"/>
        <w:spacing w:before="0" w:beforeAutospacing="0" w:after="0" w:afterAutospacing="0" w:line="360" w:lineRule="auto"/>
        <w:ind w:firstLine="480" w:firstLineChars="200"/>
        <w:jc w:val="both"/>
        <w:rPr>
          <w:rFonts w:ascii="Times New Roman" w:hAnsi="Times New Roman" w:eastAsiaTheme="minorEastAsia"/>
        </w:rPr>
      </w:pPr>
      <w:r>
        <w:rPr>
          <w:rFonts w:ascii="Times New Roman" w:hAnsi="Times New Roman" w:eastAsiaTheme="minorEastAsia"/>
        </w:rPr>
        <w:t>1. 具备全面、系统、正确地收集患者信息以及规范书写药历的基本技能。</w:t>
      </w:r>
    </w:p>
    <w:p>
      <w:pPr>
        <w:pStyle w:val="14"/>
        <w:spacing w:before="0" w:beforeAutospacing="0" w:after="0" w:afterAutospacing="0" w:line="360" w:lineRule="auto"/>
        <w:ind w:firstLine="480" w:firstLineChars="200"/>
        <w:jc w:val="both"/>
        <w:rPr>
          <w:rFonts w:ascii="Times New Roman" w:hAnsi="Times New Roman" w:eastAsiaTheme="minorEastAsia"/>
        </w:rPr>
      </w:pPr>
      <w:r>
        <w:rPr>
          <w:rFonts w:ascii="Times New Roman" w:hAnsi="Times New Roman" w:eastAsiaTheme="minorEastAsia"/>
        </w:rPr>
        <w:t>2. 具备运用循证药学的理论，收集和评价药物情报，提供药物信息服务的基本技能。</w:t>
      </w:r>
    </w:p>
    <w:p>
      <w:pPr>
        <w:pStyle w:val="14"/>
        <w:spacing w:before="0" w:beforeAutospacing="0" w:after="0" w:afterAutospacing="0" w:line="360" w:lineRule="auto"/>
        <w:ind w:firstLine="480" w:firstLineChars="200"/>
        <w:jc w:val="both"/>
        <w:rPr>
          <w:rFonts w:ascii="Times New Roman" w:hAnsi="Times New Roman" w:eastAsiaTheme="minorEastAsia"/>
        </w:rPr>
      </w:pPr>
      <w:r>
        <w:rPr>
          <w:rFonts w:ascii="Times New Roman" w:hAnsi="Times New Roman" w:eastAsiaTheme="minorEastAsia"/>
        </w:rPr>
        <w:t>3. 具备审核处方（用药医嘱）、调配处方、进行药用指导的能力。</w:t>
      </w:r>
    </w:p>
    <w:p>
      <w:pPr>
        <w:pStyle w:val="14"/>
        <w:spacing w:before="0" w:beforeAutospacing="0" w:after="0" w:afterAutospacing="0" w:line="360" w:lineRule="auto"/>
        <w:ind w:firstLine="480" w:firstLineChars="200"/>
        <w:jc w:val="both"/>
        <w:rPr>
          <w:rFonts w:ascii="Times New Roman" w:hAnsi="Times New Roman" w:eastAsiaTheme="minorEastAsia"/>
        </w:rPr>
      </w:pPr>
      <w:r>
        <w:rPr>
          <w:rFonts w:ascii="Times New Roman" w:hAnsi="Times New Roman" w:eastAsiaTheme="minorEastAsia"/>
        </w:rPr>
        <w:t>4. 具备合理用药所需要的药物咨询、药物不良反应监测、治疗药物监测和个体化给药方案设计等临床药学服务的能力。</w:t>
      </w:r>
    </w:p>
    <w:p>
      <w:pPr>
        <w:pStyle w:val="14"/>
        <w:spacing w:before="0" w:beforeAutospacing="0" w:after="0" w:afterAutospacing="0" w:line="360" w:lineRule="auto"/>
        <w:ind w:firstLine="480" w:firstLineChars="200"/>
        <w:jc w:val="both"/>
        <w:rPr>
          <w:rFonts w:ascii="Times New Roman" w:hAnsi="Times New Roman" w:eastAsiaTheme="minorEastAsia"/>
        </w:rPr>
      </w:pPr>
      <w:r>
        <w:rPr>
          <w:rFonts w:ascii="Times New Roman" w:hAnsi="Times New Roman" w:eastAsiaTheme="minorEastAsia"/>
        </w:rPr>
        <w:t>5. 具备开展药品（质量）管理和药物利用评价的能力。</w:t>
      </w:r>
    </w:p>
    <w:p>
      <w:pPr>
        <w:pStyle w:val="14"/>
        <w:spacing w:before="0" w:beforeAutospacing="0" w:after="0" w:afterAutospacing="0" w:line="360" w:lineRule="auto"/>
        <w:ind w:firstLine="480" w:firstLineChars="200"/>
        <w:jc w:val="both"/>
        <w:rPr>
          <w:rFonts w:ascii="Times New Roman" w:hAnsi="Times New Roman" w:eastAsiaTheme="minorEastAsia"/>
        </w:rPr>
      </w:pPr>
      <w:r>
        <w:rPr>
          <w:rFonts w:ascii="Times New Roman" w:hAnsi="Times New Roman" w:eastAsiaTheme="minorEastAsia"/>
        </w:rPr>
        <w:t>6. 具备与患者及其家属、医务人员进行有效沟通交流的能力。</w:t>
      </w:r>
    </w:p>
    <w:p>
      <w:pPr>
        <w:pStyle w:val="14"/>
        <w:spacing w:before="0" w:beforeAutospacing="0" w:after="0" w:afterAutospacing="0" w:line="360" w:lineRule="auto"/>
        <w:ind w:firstLine="480" w:firstLineChars="200"/>
        <w:jc w:val="both"/>
        <w:rPr>
          <w:rFonts w:ascii="Times New Roman" w:hAnsi="Times New Roman" w:eastAsiaTheme="minorEastAsia"/>
        </w:rPr>
      </w:pPr>
      <w:r>
        <w:rPr>
          <w:rFonts w:ascii="Times New Roman" w:hAnsi="Times New Roman" w:eastAsiaTheme="minorEastAsia"/>
        </w:rPr>
        <w:t>7. 具备对患者和公众进行药品基本知识宣传、合理用药指导及健康教育的能力。</w:t>
      </w:r>
    </w:p>
    <w:p>
      <w:pPr>
        <w:pStyle w:val="14"/>
        <w:spacing w:before="0" w:beforeAutospacing="0" w:after="0" w:afterAutospacing="0" w:line="360" w:lineRule="auto"/>
        <w:ind w:firstLine="480" w:firstLineChars="200"/>
        <w:jc w:val="both"/>
        <w:rPr>
          <w:rFonts w:ascii="Times New Roman" w:hAnsi="Times New Roman" w:eastAsiaTheme="minorEastAsia"/>
        </w:rPr>
      </w:pPr>
      <w:r>
        <w:rPr>
          <w:rFonts w:ascii="Times New Roman" w:hAnsi="Times New Roman" w:eastAsiaTheme="minorEastAsia"/>
        </w:rPr>
        <w:t>8. 具备检索和阅读中外文文献的能力。</w:t>
      </w:r>
    </w:p>
    <w:p>
      <w:pPr>
        <w:pStyle w:val="14"/>
        <w:spacing w:before="0" w:beforeAutospacing="0" w:after="0" w:afterAutospacing="0" w:line="360" w:lineRule="auto"/>
        <w:ind w:firstLine="480" w:firstLineChars="200"/>
        <w:jc w:val="both"/>
        <w:rPr>
          <w:rFonts w:ascii="Times New Roman" w:hAnsi="Times New Roman" w:eastAsiaTheme="minorEastAsia"/>
        </w:rPr>
      </w:pPr>
      <w:r>
        <w:rPr>
          <w:rFonts w:ascii="Times New Roman" w:hAnsi="Times New Roman" w:eastAsiaTheme="minorEastAsia"/>
        </w:rPr>
        <w:t>9. 具备理论联系实际与创新拓展的能力。</w:t>
      </w:r>
    </w:p>
    <w:p>
      <w:pPr>
        <w:pStyle w:val="14"/>
        <w:spacing w:before="0" w:beforeAutospacing="0" w:after="0" w:afterAutospacing="0" w:line="360" w:lineRule="auto"/>
        <w:ind w:firstLine="482" w:firstLineChars="200"/>
        <w:jc w:val="both"/>
        <w:rPr>
          <w:rFonts w:ascii="Times New Roman" w:hAnsi="Times New Roman" w:eastAsiaTheme="minorEastAsia"/>
          <w:b/>
        </w:rPr>
      </w:pPr>
      <w:r>
        <w:rPr>
          <w:rStyle w:val="18"/>
          <w:rFonts w:ascii="Times New Roman" w:hAnsi="Times New Roman" w:eastAsiaTheme="minorEastAsia"/>
        </w:rPr>
        <w:t xml:space="preserve">三、主干学科和主要课程 </w:t>
      </w:r>
    </w:p>
    <w:p>
      <w:pPr>
        <w:widowControl/>
        <w:spacing w:line="360" w:lineRule="auto"/>
        <w:ind w:firstLine="360" w:firstLineChars="150"/>
        <w:rPr>
          <w:rFonts w:eastAsiaTheme="minorEastAsia"/>
          <w:kern w:val="0"/>
          <w:sz w:val="24"/>
        </w:rPr>
      </w:pPr>
      <w:r>
        <w:rPr>
          <w:rFonts w:eastAsiaTheme="minorEastAsia"/>
          <w:kern w:val="0"/>
          <w:sz w:val="24"/>
        </w:rPr>
        <w:t>（一）主干学科：化学、</w:t>
      </w:r>
      <w:r>
        <w:rPr>
          <w:rFonts w:hint="eastAsia" w:eastAsiaTheme="minorEastAsia"/>
          <w:color w:val="FF0000"/>
          <w:kern w:val="0"/>
          <w:sz w:val="24"/>
          <w:lang w:val="en-US" w:eastAsia="zh-CN"/>
        </w:rPr>
        <w:t>基础医学</w:t>
      </w:r>
      <w:r>
        <w:rPr>
          <w:rFonts w:eastAsiaTheme="minorEastAsia"/>
          <w:color w:val="FF0000"/>
          <w:kern w:val="0"/>
          <w:sz w:val="24"/>
        </w:rPr>
        <w:t>、</w:t>
      </w:r>
      <w:r>
        <w:rPr>
          <w:rFonts w:hint="eastAsia" w:eastAsiaTheme="minorEastAsia"/>
          <w:color w:val="FF0000"/>
          <w:kern w:val="0"/>
          <w:sz w:val="24"/>
          <w:lang w:val="en-US" w:eastAsia="zh-CN"/>
        </w:rPr>
        <w:t>临床</w:t>
      </w:r>
      <w:r>
        <w:rPr>
          <w:rFonts w:eastAsiaTheme="minorEastAsia"/>
          <w:color w:val="FF0000"/>
          <w:kern w:val="0"/>
          <w:sz w:val="24"/>
        </w:rPr>
        <w:t>医学</w:t>
      </w:r>
      <w:r>
        <w:rPr>
          <w:rFonts w:eastAsiaTheme="minorEastAsia"/>
          <w:kern w:val="0"/>
          <w:sz w:val="24"/>
        </w:rPr>
        <w:t>、药学</w:t>
      </w:r>
    </w:p>
    <w:p>
      <w:pPr>
        <w:pStyle w:val="14"/>
        <w:spacing w:before="0" w:beforeAutospacing="0" w:after="0" w:afterAutospacing="0" w:line="360" w:lineRule="auto"/>
        <w:ind w:firstLine="360" w:firstLineChars="150"/>
        <w:jc w:val="both"/>
        <w:rPr>
          <w:rFonts w:ascii="Times New Roman" w:hAnsi="Times New Roman" w:eastAsiaTheme="minorEastAsia"/>
        </w:rPr>
      </w:pPr>
      <w:r>
        <w:rPr>
          <w:rFonts w:ascii="Times New Roman" w:hAnsi="Times New Roman" w:eastAsiaTheme="minorEastAsia"/>
        </w:rPr>
        <w:t>（二）主要课程：</w:t>
      </w:r>
      <w:r>
        <w:rPr>
          <w:rFonts w:hint="eastAsia" w:ascii="Times New Roman" w:hAnsi="Times New Roman" w:eastAsiaTheme="minorEastAsia"/>
        </w:rPr>
        <w:t>临床药学导论、</w:t>
      </w:r>
      <w:r>
        <w:rPr>
          <w:rFonts w:ascii="Times New Roman" w:hAnsi="Times New Roman" w:eastAsiaTheme="minorEastAsia"/>
        </w:rPr>
        <w:t>基础化学、有机化学、分析化学、人体解剖学、生理学、组织学与胚胎学、生物化学与分子生物学、医学微生物学、医学免疫学、病理学、病理生理学、诊断学、外科学总论、内科学、妇产科学、儿科学、医学伦理学、医患沟通学、药物分析、药理学、药物化学、药剂学、生物药剂学</w:t>
      </w:r>
      <w:r>
        <w:rPr>
          <w:rFonts w:hint="eastAsia" w:ascii="Times New Roman" w:hAnsi="Times New Roman" w:eastAsiaTheme="minorEastAsia"/>
          <w:lang w:eastAsia="zh-CN"/>
        </w:rPr>
        <w:t>、</w:t>
      </w:r>
      <w:r>
        <w:rPr>
          <w:rFonts w:ascii="Times New Roman" w:hAnsi="Times New Roman" w:eastAsiaTheme="minorEastAsia"/>
        </w:rPr>
        <w:t>药事管理学、临床药理学、临床药物代谢动力学、临床药物治疗学等。</w:t>
      </w:r>
    </w:p>
    <w:p>
      <w:pPr>
        <w:pStyle w:val="14"/>
        <w:spacing w:before="0" w:beforeAutospacing="0" w:after="0" w:afterAutospacing="0" w:line="360" w:lineRule="auto"/>
        <w:ind w:firstLine="482" w:firstLineChars="200"/>
        <w:jc w:val="both"/>
        <w:rPr>
          <w:rFonts w:ascii="Times New Roman" w:hAnsi="Times New Roman" w:eastAsiaTheme="minorEastAsia"/>
          <w:b/>
        </w:rPr>
      </w:pPr>
      <w:r>
        <w:rPr>
          <w:rFonts w:ascii="Times New Roman" w:hAnsi="Times New Roman" w:eastAsiaTheme="minorEastAsia"/>
          <w:b/>
        </w:rPr>
        <w:t>四、主要实践教学环节</w:t>
      </w:r>
    </w:p>
    <w:p>
      <w:pPr>
        <w:pStyle w:val="14"/>
        <w:spacing w:before="0" w:beforeAutospacing="0" w:after="0" w:afterAutospacing="0" w:line="360" w:lineRule="auto"/>
        <w:ind w:firstLine="360" w:firstLineChars="150"/>
        <w:jc w:val="both"/>
        <w:rPr>
          <w:rFonts w:ascii="Times New Roman" w:hAnsi="Times New Roman" w:eastAsiaTheme="minorEastAsia"/>
        </w:rPr>
      </w:pPr>
      <w:r>
        <w:rPr>
          <w:rFonts w:ascii="Times New Roman" w:hAnsi="Times New Roman" w:eastAsiaTheme="minorEastAsia"/>
        </w:rPr>
        <w:t>（一）军事训练2周，安排在第</w:t>
      </w:r>
      <w:r>
        <w:rPr>
          <w:rFonts w:hint="eastAsia" w:ascii="Times New Roman" w:hAnsi="Times New Roman" w:eastAsiaTheme="minorEastAsia"/>
          <w:lang w:val="en-US" w:eastAsia="zh-CN"/>
        </w:rPr>
        <w:t>1</w:t>
      </w:r>
      <w:r>
        <w:rPr>
          <w:rFonts w:ascii="Times New Roman" w:hAnsi="Times New Roman" w:eastAsiaTheme="minorEastAsia"/>
        </w:rPr>
        <w:t>学期进行，计2学分。</w:t>
      </w:r>
    </w:p>
    <w:p>
      <w:pPr>
        <w:pStyle w:val="14"/>
        <w:spacing w:before="0" w:beforeAutospacing="0" w:after="0" w:afterAutospacing="0" w:line="360" w:lineRule="auto"/>
        <w:ind w:firstLine="360" w:firstLineChars="150"/>
        <w:jc w:val="both"/>
        <w:rPr>
          <w:rFonts w:ascii="Times New Roman" w:hAnsi="Times New Roman" w:eastAsiaTheme="minorEastAsia"/>
        </w:rPr>
      </w:pPr>
      <w:r>
        <w:rPr>
          <w:rFonts w:ascii="Times New Roman" w:hAnsi="Times New Roman" w:eastAsiaTheme="minorEastAsia"/>
        </w:rPr>
        <w:t>（二）临床药学综合技能培训100学时，安排在第</w:t>
      </w:r>
      <w:r>
        <w:rPr>
          <w:rFonts w:hint="eastAsia" w:ascii="Times New Roman" w:hAnsi="Times New Roman" w:eastAsiaTheme="minorEastAsia"/>
          <w:lang w:val="en-US" w:eastAsia="zh-CN"/>
        </w:rPr>
        <w:t>1</w:t>
      </w:r>
      <w:r>
        <w:rPr>
          <w:rFonts w:hint="eastAsia" w:ascii="Times New Roman" w:hAnsi="Times New Roman" w:eastAsiaTheme="minorEastAsia"/>
        </w:rPr>
        <w:t>～</w:t>
      </w:r>
      <w:r>
        <w:rPr>
          <w:rFonts w:hint="eastAsia" w:ascii="Times New Roman" w:hAnsi="Times New Roman" w:eastAsiaTheme="minorEastAsia"/>
          <w:lang w:val="en-US" w:eastAsia="zh-CN"/>
        </w:rPr>
        <w:t>8</w:t>
      </w:r>
      <w:r>
        <w:rPr>
          <w:rFonts w:ascii="Times New Roman" w:hAnsi="Times New Roman" w:eastAsiaTheme="minorEastAsia"/>
        </w:rPr>
        <w:t>学期，计3学分。</w:t>
      </w:r>
    </w:p>
    <w:p>
      <w:pPr>
        <w:pStyle w:val="14"/>
        <w:spacing w:before="0" w:beforeAutospacing="0" w:after="0" w:afterAutospacing="0" w:line="360" w:lineRule="auto"/>
        <w:ind w:firstLine="360" w:firstLineChars="150"/>
        <w:jc w:val="both"/>
        <w:rPr>
          <w:rFonts w:ascii="Times New Roman" w:hAnsi="Times New Roman" w:eastAsiaTheme="minorEastAsia"/>
        </w:rPr>
      </w:pPr>
      <w:r>
        <w:rPr>
          <w:rFonts w:ascii="Times New Roman" w:hAnsi="Times New Roman" w:eastAsiaTheme="minorEastAsia"/>
        </w:rPr>
        <w:t>（三）专业见习不少于2周，安排在第</w:t>
      </w:r>
      <w:r>
        <w:rPr>
          <w:rFonts w:hint="eastAsia" w:ascii="Times New Roman" w:hAnsi="Times New Roman" w:eastAsiaTheme="minorEastAsia"/>
          <w:lang w:val="en-US" w:eastAsia="zh-CN"/>
        </w:rPr>
        <w:t>1</w:t>
      </w:r>
      <w:r>
        <w:rPr>
          <w:rFonts w:hint="eastAsia" w:ascii="Times New Roman" w:hAnsi="Times New Roman" w:eastAsiaTheme="minorEastAsia"/>
        </w:rPr>
        <w:t>～</w:t>
      </w:r>
      <w:r>
        <w:rPr>
          <w:rFonts w:hint="eastAsia" w:ascii="Times New Roman" w:hAnsi="Times New Roman" w:eastAsiaTheme="minorEastAsia"/>
          <w:lang w:val="en-US" w:eastAsia="zh-CN"/>
        </w:rPr>
        <w:t>8</w:t>
      </w:r>
      <w:r>
        <w:rPr>
          <w:rFonts w:ascii="Times New Roman" w:hAnsi="Times New Roman" w:eastAsiaTheme="minorEastAsia"/>
        </w:rPr>
        <w:t>学期</w:t>
      </w:r>
      <w:r>
        <w:rPr>
          <w:rStyle w:val="18"/>
          <w:rFonts w:eastAsiaTheme="minorEastAsia"/>
          <w:b w:val="0"/>
          <w:kern w:val="0"/>
          <w:sz w:val="24"/>
        </w:rPr>
        <w:t>寒</w:t>
      </w:r>
      <w:r>
        <w:rPr>
          <w:rFonts w:hint="eastAsia" w:ascii="Times New Roman" w:hAnsi="Times New Roman" w:eastAsiaTheme="minorEastAsia"/>
          <w:color w:val="FF0000"/>
          <w:lang w:val="en-US" w:eastAsia="zh-CN"/>
        </w:rPr>
        <w:t>暑假</w:t>
      </w:r>
      <w:r>
        <w:rPr>
          <w:rFonts w:ascii="Times New Roman" w:hAnsi="Times New Roman" w:eastAsiaTheme="minorEastAsia"/>
        </w:rPr>
        <w:t>，计2学分。</w:t>
      </w:r>
    </w:p>
    <w:p>
      <w:pPr>
        <w:pStyle w:val="14"/>
        <w:spacing w:before="0" w:beforeAutospacing="0" w:after="0" w:afterAutospacing="0" w:line="360" w:lineRule="auto"/>
        <w:ind w:firstLine="360" w:firstLineChars="150"/>
        <w:jc w:val="both"/>
        <w:rPr>
          <w:rFonts w:ascii="Times New Roman" w:hAnsi="Times New Roman" w:eastAsiaTheme="minorEastAsia"/>
        </w:rPr>
      </w:pPr>
      <w:r>
        <w:rPr>
          <w:rFonts w:ascii="Times New Roman" w:hAnsi="Times New Roman" w:eastAsiaTheme="minorEastAsia"/>
        </w:rPr>
        <w:t>（四）毕业实习</w:t>
      </w:r>
      <w:r>
        <w:rPr>
          <w:rFonts w:hint="eastAsia" w:ascii="Times New Roman" w:hAnsi="Times New Roman" w:eastAsiaTheme="minorEastAsia"/>
        </w:rPr>
        <w:t>及毕业考核</w:t>
      </w:r>
      <w:r>
        <w:rPr>
          <w:rFonts w:ascii="Times New Roman" w:hAnsi="Times New Roman" w:eastAsiaTheme="minorEastAsia"/>
        </w:rPr>
        <w:t>52周</w:t>
      </w:r>
      <w:r>
        <w:rPr>
          <w:rFonts w:hint="eastAsia" w:ascii="Times New Roman" w:hAnsi="Times New Roman" w:eastAsiaTheme="minorEastAsia"/>
          <w:lang w:eastAsia="zh-CN"/>
        </w:rPr>
        <w:t>（</w:t>
      </w:r>
      <w:r>
        <w:rPr>
          <w:rFonts w:hint="eastAsia" w:ascii="Times New Roman" w:hAnsi="Times New Roman" w:eastAsiaTheme="minorEastAsia"/>
          <w:lang w:val="en-US" w:eastAsia="zh-CN"/>
        </w:rPr>
        <w:t>含机动假4周</w:t>
      </w:r>
      <w:r>
        <w:rPr>
          <w:rFonts w:hint="eastAsia" w:ascii="Times New Roman" w:hAnsi="Times New Roman" w:eastAsiaTheme="minorEastAsia"/>
          <w:lang w:eastAsia="zh-CN"/>
        </w:rPr>
        <w:t>）</w:t>
      </w:r>
      <w:r>
        <w:rPr>
          <w:rFonts w:ascii="Times New Roman" w:hAnsi="Times New Roman" w:eastAsiaTheme="minorEastAsia"/>
        </w:rPr>
        <w:t>，安排在第</w:t>
      </w:r>
      <w:r>
        <w:rPr>
          <w:rFonts w:hint="eastAsia" w:ascii="Times New Roman" w:hAnsi="Times New Roman" w:eastAsiaTheme="minorEastAsia"/>
        </w:rPr>
        <w:t>8～</w:t>
      </w:r>
      <w:r>
        <w:rPr>
          <w:rFonts w:ascii="Times New Roman" w:hAnsi="Times New Roman" w:eastAsiaTheme="minorEastAsia"/>
        </w:rPr>
        <w:t>10</w:t>
      </w:r>
      <w:r>
        <w:rPr>
          <w:rFonts w:hint="eastAsia" w:ascii="Times New Roman" w:hAnsi="Times New Roman" w:eastAsiaTheme="minorEastAsia"/>
          <w:lang w:val="en-US" w:eastAsia="zh-CN"/>
        </w:rPr>
        <w:t>学期，计24学分</w:t>
      </w:r>
      <w:r>
        <w:rPr>
          <w:rFonts w:ascii="Times New Roman" w:hAnsi="Times New Roman" w:eastAsiaTheme="minorEastAsia"/>
        </w:rPr>
        <w:t>。</w:t>
      </w:r>
    </w:p>
    <w:p>
      <w:pPr>
        <w:pStyle w:val="14"/>
        <w:spacing w:before="0" w:beforeAutospacing="0" w:after="0" w:afterAutospacing="0" w:line="360" w:lineRule="auto"/>
        <w:ind w:firstLine="360" w:firstLineChars="150"/>
        <w:jc w:val="both"/>
        <w:rPr>
          <w:rFonts w:ascii="Times New Roman" w:hAnsi="Times New Roman" w:eastAsiaTheme="minorEastAsia"/>
        </w:rPr>
      </w:pPr>
      <w:r>
        <w:rPr>
          <w:rFonts w:ascii="Times New Roman" w:hAnsi="Times New Roman" w:eastAsiaTheme="minorEastAsia"/>
        </w:rPr>
        <w:t>（五）社会实践（含公益劳动）2周，计2学分。</w:t>
      </w:r>
    </w:p>
    <w:p>
      <w:pPr>
        <w:pStyle w:val="14"/>
        <w:tabs>
          <w:tab w:val="left" w:pos="3990"/>
        </w:tabs>
        <w:spacing w:before="0" w:beforeAutospacing="0" w:after="0" w:afterAutospacing="0" w:line="360" w:lineRule="auto"/>
        <w:ind w:firstLine="360" w:firstLineChars="150"/>
        <w:jc w:val="both"/>
        <w:rPr>
          <w:rFonts w:ascii="Times New Roman" w:hAnsi="Times New Roman"/>
        </w:rPr>
      </w:pPr>
      <w:r>
        <w:rPr>
          <w:rFonts w:ascii="Times New Roman" w:hAnsi="Times New Roman" w:eastAsiaTheme="minorEastAsia"/>
        </w:rPr>
        <w:t>（六）</w:t>
      </w:r>
      <w:r>
        <w:rPr>
          <w:rFonts w:ascii="Times New Roman" w:hAnsi="Times New Roman"/>
        </w:rPr>
        <w:t>创新创业素质拓展，3学分。</w:t>
      </w:r>
    </w:p>
    <w:p>
      <w:pPr>
        <w:pStyle w:val="14"/>
        <w:spacing w:before="0" w:beforeAutospacing="0" w:after="0" w:afterAutospacing="0" w:line="360" w:lineRule="auto"/>
        <w:ind w:firstLine="480" w:firstLineChars="200"/>
        <w:rPr>
          <w:rFonts w:ascii="Times New Roman" w:hAnsi="Times New Roman"/>
        </w:rPr>
      </w:pPr>
      <w:r>
        <w:rPr>
          <w:rFonts w:ascii="Times New Roman" w:hAnsi="Times New Roman"/>
        </w:rPr>
        <w:t>1.主持并完成“大学生创新创业训练计划项目”或“未来学术之星”等科研项目的，每项3学分；参与以上项目的，每项1.5学分；</w:t>
      </w:r>
    </w:p>
    <w:p>
      <w:pPr>
        <w:pStyle w:val="14"/>
        <w:spacing w:before="0" w:beforeAutospacing="0" w:after="0" w:afterAutospacing="0" w:line="360" w:lineRule="auto"/>
        <w:ind w:firstLine="480" w:firstLineChars="200"/>
        <w:rPr>
          <w:rFonts w:ascii="Times New Roman" w:hAnsi="Times New Roman"/>
        </w:rPr>
      </w:pPr>
      <w:r>
        <w:rPr>
          <w:rFonts w:ascii="Times New Roman" w:hAnsi="Times New Roman"/>
        </w:rPr>
        <w:t>2.主持“互联网+”大学生创新创业大赛项目，报名成功并进入校级比赛的，每项3学分；参与该项目的，每项1.5学分；</w:t>
      </w:r>
    </w:p>
    <w:p>
      <w:pPr>
        <w:pStyle w:val="14"/>
        <w:spacing w:before="0" w:beforeAutospacing="0" w:after="0" w:afterAutospacing="0" w:line="360" w:lineRule="auto"/>
        <w:ind w:firstLine="480" w:firstLineChars="200"/>
        <w:rPr>
          <w:rFonts w:ascii="Times New Roman" w:hAnsi="Times New Roman"/>
        </w:rPr>
      </w:pPr>
      <w:r>
        <w:rPr>
          <w:rFonts w:ascii="Times New Roman" w:hAnsi="Times New Roman"/>
        </w:rPr>
        <w:t>3.符合《广西医科大学本科生课外素质教育奖励学分实施管理办法（2017年9月修订）》（桂医大教〔2017〕69号）文件中学分奖励条件，获得的奖励学分可作为创新创业素质拓展学分（文件中第三类别：创新创业训练奖励学分除外）。</w:t>
      </w:r>
    </w:p>
    <w:p>
      <w:pPr>
        <w:pStyle w:val="14"/>
        <w:tabs>
          <w:tab w:val="left" w:pos="3990"/>
        </w:tabs>
        <w:spacing w:before="0" w:beforeAutospacing="0" w:after="0" w:afterAutospacing="0" w:line="360" w:lineRule="auto"/>
        <w:ind w:firstLine="602" w:firstLineChars="250"/>
        <w:jc w:val="both"/>
        <w:rPr>
          <w:rFonts w:ascii="Times New Roman" w:hAnsi="Times New Roman" w:eastAsiaTheme="minorEastAsia"/>
          <w:b/>
          <w:bCs/>
        </w:rPr>
      </w:pPr>
      <w:r>
        <w:rPr>
          <w:rFonts w:ascii="Times New Roman" w:hAnsi="Times New Roman" w:eastAsiaTheme="minorEastAsia"/>
          <w:b/>
          <w:bCs/>
        </w:rPr>
        <w:t xml:space="preserve">五、课程设置 </w:t>
      </w:r>
    </w:p>
    <w:p>
      <w:pPr>
        <w:spacing w:line="360" w:lineRule="auto"/>
        <w:ind w:firstLine="600" w:firstLineChars="250"/>
        <w:rPr>
          <w:rFonts w:eastAsiaTheme="minorEastAsia"/>
          <w:b/>
          <w:bCs/>
          <w:kern w:val="0"/>
          <w:sz w:val="24"/>
        </w:rPr>
      </w:pPr>
      <w:r>
        <w:rPr>
          <w:rFonts w:eastAsiaTheme="minorEastAsia"/>
          <w:kern w:val="0"/>
          <w:sz w:val="24"/>
        </w:rPr>
        <w:t>（一）必修课程</w:t>
      </w:r>
      <w:r>
        <w:rPr>
          <w:rFonts w:eastAsiaTheme="minorEastAsia"/>
          <w:bCs/>
          <w:color w:val="FF0000"/>
          <w:kern w:val="0"/>
          <w:sz w:val="24"/>
        </w:rPr>
        <w:t>（共4</w:t>
      </w:r>
      <w:r>
        <w:rPr>
          <w:rFonts w:hint="eastAsia" w:eastAsiaTheme="minorEastAsia"/>
          <w:bCs/>
          <w:color w:val="FF0000"/>
          <w:kern w:val="0"/>
          <w:sz w:val="24"/>
          <w:lang w:val="en-US" w:eastAsia="zh-CN"/>
        </w:rPr>
        <w:t>7</w:t>
      </w:r>
      <w:r>
        <w:rPr>
          <w:rFonts w:eastAsiaTheme="minorEastAsia"/>
          <w:bCs/>
          <w:color w:val="FF0000"/>
          <w:kern w:val="0"/>
          <w:sz w:val="24"/>
        </w:rPr>
        <w:t>门、2</w:t>
      </w:r>
      <w:r>
        <w:rPr>
          <w:rFonts w:hint="eastAsia" w:eastAsiaTheme="minorEastAsia"/>
          <w:bCs/>
          <w:color w:val="FF0000"/>
          <w:kern w:val="0"/>
          <w:sz w:val="24"/>
          <w:lang w:val="en-US" w:eastAsia="zh-CN"/>
        </w:rPr>
        <w:t>700</w:t>
      </w:r>
      <w:r>
        <w:rPr>
          <w:rFonts w:eastAsiaTheme="minorEastAsia"/>
          <w:bCs/>
          <w:color w:val="FF0000"/>
          <w:kern w:val="0"/>
          <w:sz w:val="24"/>
        </w:rPr>
        <w:t>学时、1</w:t>
      </w:r>
      <w:r>
        <w:rPr>
          <w:rFonts w:hint="eastAsia" w:eastAsiaTheme="minorEastAsia"/>
          <w:bCs/>
          <w:color w:val="FF0000"/>
          <w:kern w:val="0"/>
          <w:sz w:val="24"/>
          <w:lang w:val="en-US" w:eastAsia="zh-CN"/>
        </w:rPr>
        <w:t>42</w:t>
      </w:r>
      <w:r>
        <w:rPr>
          <w:rFonts w:eastAsiaTheme="minorEastAsia"/>
          <w:bCs/>
          <w:color w:val="FF0000"/>
          <w:kern w:val="0"/>
          <w:sz w:val="24"/>
        </w:rPr>
        <w:t>学分）</w:t>
      </w:r>
    </w:p>
    <w:p>
      <w:pPr>
        <w:pStyle w:val="14"/>
        <w:spacing w:before="0" w:beforeAutospacing="0" w:after="0" w:afterAutospacing="0" w:line="360" w:lineRule="auto"/>
        <w:ind w:firstLine="360" w:firstLineChars="150"/>
        <w:jc w:val="both"/>
        <w:rPr>
          <w:rFonts w:ascii="Times New Roman" w:hAnsi="Times New Roman" w:eastAsiaTheme="minorEastAsia"/>
          <w:bCs/>
        </w:rPr>
      </w:pPr>
      <w:r>
        <w:rPr>
          <w:rFonts w:ascii="Times New Roman" w:hAnsi="Times New Roman" w:eastAsiaTheme="minorEastAsia"/>
          <w:bCs/>
        </w:rPr>
        <w:t>（二）限选课程（</w:t>
      </w:r>
      <w:r>
        <w:rPr>
          <w:rFonts w:ascii="Times New Roman" w:hAnsi="Times New Roman" w:eastAsiaTheme="minorEastAsia"/>
          <w:bCs/>
          <w:color w:val="FF0000"/>
        </w:rPr>
        <w:t>2</w:t>
      </w:r>
      <w:r>
        <w:rPr>
          <w:rFonts w:hint="eastAsia" w:ascii="Times New Roman" w:hAnsi="Times New Roman" w:eastAsiaTheme="minorEastAsia"/>
          <w:bCs/>
          <w:color w:val="FF0000"/>
          <w:lang w:val="en-US" w:eastAsia="zh-CN"/>
        </w:rPr>
        <w:t>0</w:t>
      </w:r>
      <w:r>
        <w:rPr>
          <w:rFonts w:ascii="Times New Roman" w:hAnsi="Times New Roman" w:eastAsiaTheme="minorEastAsia"/>
          <w:bCs/>
          <w:color w:val="FF0000"/>
        </w:rPr>
        <w:t>门选1</w:t>
      </w:r>
      <w:r>
        <w:rPr>
          <w:rFonts w:hint="eastAsia" w:ascii="Times New Roman" w:hAnsi="Times New Roman" w:eastAsiaTheme="minorEastAsia"/>
          <w:bCs/>
          <w:color w:val="FF0000"/>
          <w:lang w:val="en-US" w:eastAsia="zh-CN"/>
        </w:rPr>
        <w:t>0</w:t>
      </w:r>
      <w:r>
        <w:rPr>
          <w:rFonts w:ascii="Times New Roman" w:hAnsi="Times New Roman" w:eastAsiaTheme="minorEastAsia"/>
          <w:bCs/>
          <w:color w:val="FF0000"/>
        </w:rPr>
        <w:t>门</w:t>
      </w:r>
      <w:r>
        <w:rPr>
          <w:rFonts w:ascii="Times New Roman" w:hAnsi="Times New Roman" w:eastAsiaTheme="minorEastAsia"/>
          <w:bCs/>
        </w:rPr>
        <w:t>，最低选修</w:t>
      </w:r>
      <w:r>
        <w:rPr>
          <w:rFonts w:hint="eastAsia" w:ascii="Times New Roman" w:hAnsi="Times New Roman" w:eastAsiaTheme="minorEastAsia"/>
          <w:bCs/>
          <w:color w:val="FF0000"/>
          <w:lang w:val="en-US" w:eastAsia="zh-CN"/>
        </w:rPr>
        <w:t>16.0</w:t>
      </w:r>
      <w:r>
        <w:rPr>
          <w:rFonts w:ascii="Times New Roman" w:hAnsi="Times New Roman" w:eastAsiaTheme="minorEastAsia"/>
          <w:bCs/>
        </w:rPr>
        <w:t>学分）</w:t>
      </w:r>
    </w:p>
    <w:p>
      <w:pPr>
        <w:pStyle w:val="14"/>
        <w:spacing w:before="0" w:beforeAutospacing="0" w:after="0" w:afterAutospacing="0" w:line="360" w:lineRule="auto"/>
        <w:ind w:firstLine="360" w:firstLineChars="150"/>
        <w:jc w:val="both"/>
        <w:rPr>
          <w:rFonts w:ascii="Times New Roman" w:hAnsi="Times New Roman" w:eastAsiaTheme="minorEastAsia"/>
          <w:bCs/>
        </w:rPr>
      </w:pPr>
      <w:r>
        <w:rPr>
          <w:rFonts w:ascii="Times New Roman" w:hAnsi="Times New Roman" w:eastAsiaTheme="minorEastAsia"/>
          <w:bCs/>
        </w:rPr>
        <w:t>（三）公共任选课（20学分）</w:t>
      </w:r>
    </w:p>
    <w:p>
      <w:pPr>
        <w:pStyle w:val="14"/>
        <w:spacing w:before="0" w:beforeAutospacing="0" w:after="0" w:afterAutospacing="0" w:line="360" w:lineRule="auto"/>
        <w:ind w:firstLine="480" w:firstLineChars="200"/>
        <w:jc w:val="both"/>
        <w:rPr>
          <w:rStyle w:val="18"/>
          <w:rFonts w:ascii="Times New Roman" w:hAnsi="Times New Roman" w:eastAsiaTheme="minorEastAsia"/>
          <w:b w:val="0"/>
        </w:rPr>
      </w:pPr>
      <w:r>
        <w:rPr>
          <w:rFonts w:ascii="宋体" w:hAnsi="宋体" w:eastAsia="宋体" w:cs="宋体"/>
          <w:color w:val="FF0000"/>
          <w:sz w:val="24"/>
          <w:szCs w:val="24"/>
        </w:rPr>
        <w:t>公共艺术类课程须修读2学分</w:t>
      </w:r>
      <w:r>
        <w:rPr>
          <w:rFonts w:hint="eastAsia" w:ascii="宋体" w:hAnsi="宋体" w:cs="宋体"/>
          <w:color w:val="FF0000"/>
          <w:sz w:val="24"/>
          <w:szCs w:val="24"/>
          <w:lang w:val="en-US" w:eastAsia="zh-CN"/>
        </w:rPr>
        <w:t>及</w:t>
      </w:r>
      <w:r>
        <w:rPr>
          <w:rFonts w:ascii="宋体" w:hAnsi="宋体" w:eastAsia="宋体" w:cs="宋体"/>
          <w:color w:val="FF0000"/>
          <w:sz w:val="24"/>
          <w:szCs w:val="24"/>
        </w:rPr>
        <w:t>以上。</w:t>
      </w:r>
      <w:r>
        <w:rPr>
          <w:rStyle w:val="18"/>
          <w:rFonts w:ascii="Times New Roman" w:hAnsi="Times New Roman" w:eastAsiaTheme="minorEastAsia"/>
          <w:b w:val="0"/>
        </w:rPr>
        <w:t>参加《普通话》任选课学习并通过考试或自行参加普通话水平测试，分数达二级乙等（80分）及以上，可计1学分。另外，根据《广西医科大学本科生课外素质教育奖励学分管理办法》，奖励学分可作为任选课学分记载，但不得超过任选课学分的50%。</w:t>
      </w:r>
    </w:p>
    <w:p>
      <w:pPr>
        <w:pStyle w:val="14"/>
        <w:widowControl w:val="0"/>
        <w:spacing w:before="0" w:beforeAutospacing="0" w:after="0" w:afterAutospacing="0" w:line="360" w:lineRule="auto"/>
        <w:ind w:firstLine="360" w:firstLineChars="150"/>
        <w:jc w:val="both"/>
        <w:rPr>
          <w:rFonts w:ascii="Times New Roman" w:hAnsi="Times New Roman" w:eastAsiaTheme="minorEastAsia"/>
          <w:bCs/>
        </w:rPr>
      </w:pPr>
      <w:r>
        <w:rPr>
          <w:rFonts w:ascii="Times New Roman" w:hAnsi="Times New Roman" w:eastAsiaTheme="minorEastAsia"/>
          <w:bCs/>
        </w:rPr>
        <w:t>（</w:t>
      </w:r>
      <w:r>
        <w:rPr>
          <w:rFonts w:hint="eastAsia" w:ascii="Times New Roman" w:hAnsi="Times New Roman" w:eastAsiaTheme="minorEastAsia"/>
          <w:bCs/>
          <w:lang w:val="en-US" w:eastAsia="zh-CN"/>
        </w:rPr>
        <w:t>四</w:t>
      </w:r>
      <w:r>
        <w:rPr>
          <w:rFonts w:ascii="Times New Roman" w:hAnsi="Times New Roman" w:eastAsiaTheme="minorEastAsia"/>
          <w:bCs/>
        </w:rPr>
        <w:t>）临床药学综合技能培训：共100学时，计3学分。</w:t>
      </w:r>
    </w:p>
    <w:p>
      <w:pPr>
        <w:pStyle w:val="14"/>
        <w:spacing w:before="0" w:beforeAutospacing="0" w:after="0" w:afterAutospacing="0" w:line="360" w:lineRule="auto"/>
        <w:ind w:firstLine="352" w:firstLineChars="147"/>
        <w:jc w:val="both"/>
        <w:rPr>
          <w:rFonts w:ascii="Times New Roman" w:hAnsi="Times New Roman" w:eastAsiaTheme="minorEastAsia"/>
        </w:rPr>
      </w:pPr>
      <w:r>
        <w:rPr>
          <w:rFonts w:ascii="Times New Roman" w:hAnsi="Times New Roman" w:eastAsiaTheme="minorEastAsia"/>
        </w:rPr>
        <w:t>（</w:t>
      </w:r>
      <w:r>
        <w:rPr>
          <w:rFonts w:hint="eastAsia" w:ascii="Times New Roman" w:hAnsi="Times New Roman" w:eastAsiaTheme="minorEastAsia"/>
          <w:lang w:val="en-US" w:eastAsia="zh-CN"/>
        </w:rPr>
        <w:t>五</w:t>
      </w:r>
      <w:r>
        <w:rPr>
          <w:rFonts w:ascii="Times New Roman" w:hAnsi="Times New Roman" w:eastAsiaTheme="minorEastAsia"/>
        </w:rPr>
        <w:t>）专业见习：</w:t>
      </w:r>
      <w:r>
        <w:rPr>
          <w:rFonts w:hint="eastAsia" w:ascii="Times New Roman" w:hAnsi="Times New Roman" w:eastAsiaTheme="minorEastAsia"/>
          <w:lang w:val="en-US" w:eastAsia="zh-CN"/>
        </w:rPr>
        <w:t>共2周，</w:t>
      </w:r>
      <w:r>
        <w:rPr>
          <w:rFonts w:ascii="Times New Roman" w:hAnsi="Times New Roman" w:eastAsiaTheme="minorEastAsia"/>
        </w:rPr>
        <w:t>2学分。</w:t>
      </w:r>
    </w:p>
    <w:p>
      <w:pPr>
        <w:pStyle w:val="14"/>
        <w:spacing w:before="0" w:beforeAutospacing="0" w:after="0" w:afterAutospacing="0" w:line="360" w:lineRule="auto"/>
        <w:ind w:firstLine="480" w:firstLineChars="200"/>
        <w:jc w:val="both"/>
        <w:rPr>
          <w:rFonts w:ascii="Times New Roman" w:hAnsi="Times New Roman" w:eastAsiaTheme="minorEastAsia"/>
        </w:rPr>
      </w:pPr>
      <w:r>
        <w:rPr>
          <w:rFonts w:ascii="Times New Roman" w:hAnsi="Times New Roman" w:eastAsiaTheme="minorEastAsia"/>
        </w:rPr>
        <w:t>专业见习应在医院病房、医院药房、社区药房或药品生产、经营企业中完成，见习时间不少于2周，由学生自主联系见习单位，一般安排在第</w:t>
      </w:r>
      <w:r>
        <w:rPr>
          <w:rFonts w:ascii="Times New Roman" w:hAnsi="Times New Roman" w:eastAsiaTheme="minorEastAsia"/>
          <w:color w:val="FF0000"/>
        </w:rPr>
        <w:t>1</w:t>
      </w:r>
      <w:r>
        <w:rPr>
          <w:rFonts w:ascii="Times New Roman" w:hAnsi="Times New Roman"/>
          <w:color w:val="FF0000"/>
        </w:rPr>
        <w:t>~</w:t>
      </w:r>
      <w:r>
        <w:rPr>
          <w:rFonts w:hint="eastAsia" w:ascii="Times New Roman" w:hAnsi="Times New Roman"/>
          <w:color w:val="FF0000"/>
          <w:lang w:val="en-US" w:eastAsia="zh-CN"/>
        </w:rPr>
        <w:t>8学期</w:t>
      </w:r>
      <w:r>
        <w:rPr>
          <w:rStyle w:val="18"/>
          <w:rFonts w:eastAsiaTheme="minorEastAsia"/>
          <w:b w:val="0"/>
          <w:kern w:val="0"/>
          <w:sz w:val="24"/>
        </w:rPr>
        <w:t>寒</w:t>
      </w:r>
      <w:r>
        <w:rPr>
          <w:rFonts w:ascii="Times New Roman" w:hAnsi="Times New Roman" w:eastAsiaTheme="minorEastAsia"/>
          <w:color w:val="FF0000"/>
        </w:rPr>
        <w:t>暑假</w:t>
      </w:r>
      <w:r>
        <w:rPr>
          <w:rFonts w:ascii="Times New Roman" w:hAnsi="Times New Roman" w:eastAsiaTheme="minorEastAsia"/>
        </w:rPr>
        <w:t>。</w:t>
      </w:r>
    </w:p>
    <w:p>
      <w:pPr>
        <w:pStyle w:val="14"/>
        <w:spacing w:before="0" w:beforeAutospacing="0" w:after="0" w:afterAutospacing="0" w:line="360" w:lineRule="auto"/>
        <w:ind w:firstLine="352" w:firstLineChars="147"/>
        <w:jc w:val="both"/>
        <w:rPr>
          <w:rFonts w:ascii="Times New Roman" w:hAnsi="Times New Roman" w:eastAsiaTheme="minorEastAsia"/>
        </w:rPr>
      </w:pPr>
      <w:r>
        <w:rPr>
          <w:rStyle w:val="18"/>
          <w:rFonts w:ascii="Times New Roman" w:hAnsi="Times New Roman" w:eastAsiaTheme="minorEastAsia"/>
          <w:b w:val="0"/>
        </w:rPr>
        <w:t>（</w:t>
      </w:r>
      <w:r>
        <w:rPr>
          <w:rStyle w:val="18"/>
          <w:rFonts w:hint="eastAsia" w:ascii="Times New Roman" w:hAnsi="Times New Roman" w:eastAsiaTheme="minorEastAsia"/>
          <w:b w:val="0"/>
          <w:lang w:val="en-US" w:eastAsia="zh-CN"/>
        </w:rPr>
        <w:t>六</w:t>
      </w:r>
      <w:r>
        <w:rPr>
          <w:rStyle w:val="18"/>
          <w:rFonts w:ascii="Times New Roman" w:hAnsi="Times New Roman" w:eastAsiaTheme="minorEastAsia"/>
          <w:b w:val="0"/>
        </w:rPr>
        <w:t>）</w:t>
      </w:r>
      <w:r>
        <w:rPr>
          <w:rFonts w:ascii="Times New Roman" w:hAnsi="Times New Roman" w:eastAsiaTheme="minorEastAsia"/>
        </w:rPr>
        <w:t>社会实践</w:t>
      </w:r>
      <w:r>
        <w:rPr>
          <w:rStyle w:val="18"/>
          <w:rFonts w:ascii="Times New Roman" w:hAnsi="Times New Roman" w:eastAsiaTheme="minorEastAsia"/>
          <w:b w:val="0"/>
        </w:rPr>
        <w:t>：共2周，2学分。</w:t>
      </w:r>
    </w:p>
    <w:p>
      <w:pPr>
        <w:pStyle w:val="8"/>
        <w:spacing w:after="0" w:line="360" w:lineRule="auto"/>
        <w:ind w:left="0" w:leftChars="0" w:firstLine="480" w:firstLineChars="200"/>
        <w:rPr>
          <w:rStyle w:val="18"/>
          <w:rFonts w:eastAsiaTheme="minorEastAsia"/>
          <w:b w:val="0"/>
          <w:kern w:val="0"/>
          <w:sz w:val="24"/>
        </w:rPr>
      </w:pPr>
      <w:r>
        <w:rPr>
          <w:rStyle w:val="18"/>
          <w:rFonts w:eastAsiaTheme="minorEastAsia"/>
          <w:b w:val="0"/>
          <w:kern w:val="0"/>
          <w:sz w:val="24"/>
        </w:rPr>
        <w:t>1. 假期社会实践：寒暑假社会实践，36学时（1周）计1学分。</w:t>
      </w:r>
    </w:p>
    <w:p>
      <w:pPr>
        <w:pStyle w:val="8"/>
        <w:spacing w:after="0" w:line="360" w:lineRule="auto"/>
        <w:ind w:left="0" w:leftChars="0" w:firstLine="480" w:firstLineChars="200"/>
        <w:rPr>
          <w:rStyle w:val="18"/>
          <w:rFonts w:eastAsiaTheme="minorEastAsia"/>
          <w:b w:val="0"/>
          <w:kern w:val="0"/>
          <w:sz w:val="24"/>
        </w:rPr>
      </w:pPr>
      <w:r>
        <w:rPr>
          <w:rStyle w:val="18"/>
          <w:rFonts w:eastAsiaTheme="minorEastAsia"/>
          <w:b w:val="0"/>
          <w:kern w:val="0"/>
          <w:sz w:val="24"/>
        </w:rPr>
        <w:t>2. 志愿服务：校内外志愿服务活动，36学时（1周）计1学分。</w:t>
      </w:r>
    </w:p>
    <w:p>
      <w:pPr>
        <w:pStyle w:val="8"/>
        <w:spacing w:after="0" w:line="360" w:lineRule="auto"/>
        <w:ind w:left="0" w:leftChars="0" w:firstLine="480" w:firstLineChars="200"/>
        <w:rPr>
          <w:rStyle w:val="18"/>
          <w:rFonts w:eastAsiaTheme="minorEastAsia"/>
          <w:b w:val="0"/>
          <w:kern w:val="0"/>
          <w:sz w:val="24"/>
        </w:rPr>
      </w:pPr>
      <w:r>
        <w:rPr>
          <w:rStyle w:val="18"/>
          <w:rFonts w:hint="eastAsia" w:eastAsiaTheme="minorEastAsia"/>
          <w:b w:val="0"/>
          <w:kern w:val="0"/>
          <w:sz w:val="24"/>
          <w:lang w:val="en-US" w:eastAsia="zh-CN"/>
        </w:rPr>
        <w:t xml:space="preserve">3. </w:t>
      </w:r>
      <w:r>
        <w:rPr>
          <w:rStyle w:val="18"/>
          <w:rFonts w:eastAsiaTheme="minorEastAsia"/>
          <w:b w:val="0"/>
          <w:kern w:val="0"/>
          <w:sz w:val="24"/>
        </w:rPr>
        <w:t>公益劳动：校内外公益劳动，每学期1学时。</w:t>
      </w:r>
    </w:p>
    <w:p>
      <w:pPr>
        <w:pStyle w:val="14"/>
        <w:spacing w:before="0" w:beforeAutospacing="0" w:after="0" w:afterAutospacing="0" w:line="360" w:lineRule="auto"/>
        <w:ind w:firstLine="480" w:firstLineChars="200"/>
        <w:jc w:val="both"/>
        <w:rPr>
          <w:rStyle w:val="18"/>
          <w:rFonts w:ascii="Times New Roman" w:hAnsi="Times New Roman" w:eastAsiaTheme="minorEastAsia"/>
          <w:b w:val="0"/>
        </w:rPr>
      </w:pPr>
      <w:r>
        <w:rPr>
          <w:rStyle w:val="18"/>
          <w:rFonts w:ascii="Times New Roman" w:hAnsi="Times New Roman" w:eastAsiaTheme="minorEastAsia"/>
          <w:b w:val="0"/>
        </w:rPr>
        <w:t>单项或者累计学分满2学分者，计2学分。</w:t>
      </w:r>
    </w:p>
    <w:p>
      <w:pPr>
        <w:pStyle w:val="14"/>
        <w:numPr>
          <w:ilvl w:val="0"/>
          <w:numId w:val="0"/>
        </w:numPr>
        <w:spacing w:before="0" w:beforeAutospacing="0" w:after="0" w:afterAutospacing="0" w:line="360" w:lineRule="auto"/>
        <w:ind w:left="630" w:leftChars="0"/>
        <w:jc w:val="both"/>
        <w:rPr>
          <w:rStyle w:val="18"/>
          <w:rFonts w:ascii="Times New Roman" w:hAnsi="Times New Roman" w:eastAsiaTheme="minorEastAsia"/>
          <w:b w:val="0"/>
        </w:rPr>
      </w:pPr>
      <w:r>
        <w:rPr>
          <w:rStyle w:val="18"/>
          <w:rFonts w:hint="eastAsia" w:ascii="Times New Roman" w:hAnsi="Times New Roman" w:eastAsiaTheme="minorEastAsia"/>
          <w:b w:val="0"/>
          <w:lang w:eastAsia="zh-CN"/>
        </w:rPr>
        <w:t>（</w:t>
      </w:r>
      <w:r>
        <w:rPr>
          <w:rStyle w:val="18"/>
          <w:rFonts w:hint="eastAsia" w:ascii="Times New Roman" w:hAnsi="Times New Roman" w:eastAsiaTheme="minorEastAsia"/>
          <w:b w:val="0"/>
          <w:lang w:val="en-US" w:eastAsia="zh-CN"/>
        </w:rPr>
        <w:t>七</w:t>
      </w:r>
      <w:r>
        <w:rPr>
          <w:rStyle w:val="18"/>
          <w:rFonts w:hint="eastAsia" w:ascii="Times New Roman" w:hAnsi="Times New Roman" w:eastAsiaTheme="minorEastAsia"/>
          <w:b w:val="0"/>
          <w:lang w:eastAsia="zh-CN"/>
        </w:rPr>
        <w:t>）</w:t>
      </w:r>
      <w:r>
        <w:rPr>
          <w:rStyle w:val="18"/>
          <w:rFonts w:ascii="Times New Roman" w:hAnsi="Times New Roman" w:eastAsiaTheme="minorEastAsia"/>
          <w:b w:val="0"/>
        </w:rPr>
        <w:t>毕业实习</w:t>
      </w:r>
      <w:r>
        <w:rPr>
          <w:rStyle w:val="18"/>
          <w:rFonts w:hint="eastAsia" w:ascii="Times New Roman" w:hAnsi="Times New Roman" w:eastAsiaTheme="minorEastAsia"/>
          <w:b w:val="0"/>
        </w:rPr>
        <w:t>及毕业考核</w:t>
      </w:r>
      <w:r>
        <w:rPr>
          <w:rStyle w:val="18"/>
          <w:rFonts w:ascii="Times New Roman" w:hAnsi="Times New Roman" w:eastAsiaTheme="minorEastAsia"/>
          <w:b w:val="0"/>
        </w:rPr>
        <w:t>：</w:t>
      </w:r>
      <w:r>
        <w:rPr>
          <w:rStyle w:val="18"/>
          <w:rFonts w:ascii="Times New Roman" w:hAnsi="Times New Roman" w:eastAsiaTheme="minorEastAsia"/>
          <w:b w:val="0"/>
          <w:color w:val="FF0000"/>
        </w:rPr>
        <w:t>共52周（含4周机动假），</w:t>
      </w:r>
      <w:r>
        <w:rPr>
          <w:rStyle w:val="18"/>
          <w:rFonts w:hint="eastAsia" w:ascii="Times New Roman" w:hAnsi="Times New Roman" w:eastAsiaTheme="minorEastAsia"/>
          <w:b w:val="0"/>
          <w:color w:val="FF0000"/>
          <w:lang w:val="en-US" w:eastAsia="zh-CN"/>
        </w:rPr>
        <w:t>计</w:t>
      </w:r>
      <w:r>
        <w:rPr>
          <w:rStyle w:val="18"/>
          <w:rFonts w:ascii="Times New Roman" w:hAnsi="Times New Roman" w:eastAsiaTheme="minorEastAsia"/>
          <w:b w:val="0"/>
          <w:color w:val="FF0000"/>
        </w:rPr>
        <w:t>24学分</w:t>
      </w:r>
      <w:r>
        <w:rPr>
          <w:rStyle w:val="18"/>
          <w:rFonts w:hint="eastAsia" w:ascii="Times New Roman" w:hAnsi="Times New Roman" w:eastAsiaTheme="minorEastAsia"/>
          <w:b w:val="0"/>
          <w:color w:val="FF0000"/>
          <w:lang w:eastAsia="zh-CN"/>
        </w:rPr>
        <w:t>。</w:t>
      </w:r>
    </w:p>
    <w:p>
      <w:pPr>
        <w:pStyle w:val="14"/>
        <w:numPr>
          <w:ilvl w:val="0"/>
          <w:numId w:val="0"/>
        </w:numPr>
        <w:spacing w:before="0" w:beforeAutospacing="0" w:after="0" w:afterAutospacing="0" w:line="360" w:lineRule="auto"/>
        <w:ind w:firstLine="480" w:firstLineChars="200"/>
        <w:jc w:val="both"/>
        <w:rPr>
          <w:rStyle w:val="18"/>
          <w:rFonts w:ascii="Times New Roman" w:hAnsi="Times New Roman" w:eastAsiaTheme="minorEastAsia"/>
          <w:b w:val="0"/>
        </w:rPr>
      </w:pPr>
      <w:r>
        <w:rPr>
          <w:rStyle w:val="18"/>
          <w:rFonts w:hint="eastAsia" w:ascii="Times New Roman" w:hAnsi="Times New Roman" w:eastAsiaTheme="minorEastAsia"/>
          <w:b w:val="0"/>
          <w:color w:val="FF0000"/>
          <w:lang w:val="en-US" w:eastAsia="zh-CN"/>
        </w:rPr>
        <w:t xml:space="preserve">1. </w:t>
      </w:r>
      <w:r>
        <w:rPr>
          <w:rStyle w:val="18"/>
          <w:rFonts w:ascii="Times New Roman" w:hAnsi="Times New Roman" w:eastAsiaTheme="minorEastAsia"/>
          <w:b w:val="0"/>
          <w:color w:val="FF0000"/>
        </w:rPr>
        <w:t>药</w:t>
      </w:r>
      <w:r>
        <w:rPr>
          <w:rStyle w:val="18"/>
          <w:rFonts w:hint="eastAsia" w:ascii="Times New Roman" w:hAnsi="Times New Roman" w:eastAsiaTheme="minorEastAsia"/>
          <w:b w:val="0"/>
          <w:color w:val="FF0000"/>
          <w:lang w:val="en-US" w:eastAsia="zh-CN"/>
        </w:rPr>
        <w:t>学部门实习</w:t>
      </w:r>
      <w:r>
        <w:rPr>
          <w:rStyle w:val="18"/>
          <w:rFonts w:ascii="Times New Roman" w:hAnsi="Times New Roman" w:eastAsiaTheme="minorEastAsia"/>
          <w:b w:val="0"/>
          <w:color w:val="FF0000"/>
        </w:rPr>
        <w:t>12周</w:t>
      </w:r>
      <w:r>
        <w:rPr>
          <w:rStyle w:val="18"/>
          <w:rFonts w:hint="eastAsia" w:ascii="Times New Roman" w:hAnsi="Times New Roman" w:eastAsiaTheme="minorEastAsia"/>
          <w:b w:val="0"/>
          <w:color w:val="FF0000"/>
          <w:lang w:eastAsia="zh-CN"/>
        </w:rPr>
        <w:t>；</w:t>
      </w:r>
      <w:r>
        <w:rPr>
          <w:rStyle w:val="18"/>
          <w:rFonts w:hint="eastAsia" w:ascii="Times New Roman" w:hAnsi="Times New Roman" w:eastAsiaTheme="minorEastAsia"/>
          <w:b w:val="0"/>
          <w:color w:val="FF0000"/>
          <w:lang w:val="en-US" w:eastAsia="zh-CN"/>
        </w:rPr>
        <w:t>临床实习36周，选择3个及以上临床专科，内科优先选择</w:t>
      </w:r>
      <w:r>
        <w:rPr>
          <w:rStyle w:val="18"/>
          <w:rFonts w:ascii="Times New Roman" w:hAnsi="Times New Roman" w:eastAsiaTheme="minorEastAsia"/>
          <w:b w:val="0"/>
          <w:color w:val="FF0000"/>
        </w:rPr>
        <w:t>呼吸内科、心血管内科、内分泌科</w:t>
      </w:r>
      <w:r>
        <w:rPr>
          <w:rStyle w:val="18"/>
          <w:rFonts w:hint="eastAsia" w:ascii="Times New Roman" w:hAnsi="Times New Roman" w:eastAsiaTheme="minorEastAsia"/>
          <w:b w:val="0"/>
          <w:color w:val="FF0000"/>
          <w:lang w:val="en-US" w:eastAsia="zh-CN"/>
        </w:rPr>
        <w:t>等</w:t>
      </w:r>
      <w:r>
        <w:rPr>
          <w:rStyle w:val="18"/>
          <w:rFonts w:ascii="Times New Roman" w:hAnsi="Times New Roman" w:eastAsiaTheme="minorEastAsia"/>
          <w:b w:val="0"/>
          <w:color w:val="FF0000"/>
        </w:rPr>
        <w:t>，每个专科实习时间不少于6周。</w:t>
      </w:r>
    </w:p>
    <w:p>
      <w:pPr>
        <w:spacing w:after="78" w:afterLines="25" w:line="360" w:lineRule="auto"/>
        <w:jc w:val="center"/>
        <w:rPr>
          <w:rStyle w:val="18"/>
          <w:rFonts w:hint="eastAsia" w:eastAsiaTheme="minorEastAsia"/>
          <w:b w:val="0"/>
          <w:bCs w:val="0"/>
          <w:sz w:val="24"/>
          <w:lang w:eastAsia="zh-CN"/>
        </w:rPr>
      </w:pPr>
      <w:r>
        <w:rPr>
          <w:rStyle w:val="18"/>
          <w:rFonts w:eastAsiaTheme="minorEastAsia"/>
          <w:b w:val="0"/>
          <w:bCs w:val="0"/>
          <w:sz w:val="24"/>
        </w:rPr>
        <w:t>表1  五年制临床药学专业实习各科室时间分配表</w:t>
      </w:r>
      <w:r>
        <w:rPr>
          <w:rStyle w:val="18"/>
          <w:rFonts w:hint="eastAsia" w:eastAsiaTheme="minorEastAsia"/>
          <w:b w:val="0"/>
          <w:bCs w:val="0"/>
          <w:color w:val="FF0000"/>
          <w:sz w:val="24"/>
          <w:lang w:eastAsia="zh-CN"/>
        </w:rPr>
        <w:t>（</w:t>
      </w:r>
      <w:r>
        <w:rPr>
          <w:rStyle w:val="18"/>
          <w:rFonts w:hint="eastAsia" w:eastAsiaTheme="minorEastAsia"/>
          <w:b w:val="0"/>
          <w:bCs w:val="0"/>
          <w:color w:val="FF0000"/>
          <w:sz w:val="24"/>
          <w:lang w:val="en-US" w:eastAsia="zh-CN"/>
        </w:rPr>
        <w:t>建议</w:t>
      </w:r>
      <w:r>
        <w:rPr>
          <w:rStyle w:val="18"/>
          <w:rFonts w:hint="eastAsia" w:eastAsiaTheme="minorEastAsia"/>
          <w:b w:val="0"/>
          <w:bCs w:val="0"/>
          <w:color w:val="FF0000"/>
          <w:sz w:val="24"/>
          <w:lang w:eastAsia="zh-CN"/>
        </w:rPr>
        <w:t>）</w:t>
      </w:r>
    </w:p>
    <w:tbl>
      <w:tblPr>
        <w:tblStyle w:val="16"/>
        <w:tblW w:w="7322" w:type="dxa"/>
        <w:jc w:val="center"/>
        <w:tblLayout w:type="fixed"/>
        <w:tblCellMar>
          <w:top w:w="0" w:type="dxa"/>
          <w:left w:w="108" w:type="dxa"/>
          <w:bottom w:w="0" w:type="dxa"/>
          <w:right w:w="108" w:type="dxa"/>
        </w:tblCellMar>
      </w:tblPr>
      <w:tblGrid>
        <w:gridCol w:w="1665"/>
        <w:gridCol w:w="874"/>
        <w:gridCol w:w="937"/>
        <w:gridCol w:w="1285"/>
        <w:gridCol w:w="1272"/>
        <w:gridCol w:w="1289"/>
      </w:tblGrid>
      <w:tr>
        <w:tblPrEx>
          <w:tblCellMar>
            <w:top w:w="0" w:type="dxa"/>
            <w:left w:w="108" w:type="dxa"/>
            <w:bottom w:w="0" w:type="dxa"/>
            <w:right w:w="108" w:type="dxa"/>
          </w:tblCellMar>
        </w:tblPrEx>
        <w:trPr>
          <w:trHeight w:val="480" w:hRule="atLeast"/>
          <w:jc w:val="center"/>
        </w:trPr>
        <w:tc>
          <w:tcPr>
            <w:tcW w:w="1665" w:type="dxa"/>
            <w:tcBorders>
              <w:top w:val="single" w:color="auto" w:sz="4" w:space="0"/>
              <w:bottom w:val="single" w:color="auto" w:sz="4" w:space="0"/>
            </w:tcBorders>
          </w:tcPr>
          <w:p>
            <w:pPr>
              <w:widowControl/>
              <w:spacing w:line="360" w:lineRule="auto"/>
              <w:jc w:val="center"/>
              <w:rPr>
                <w:rFonts w:eastAsiaTheme="minorEastAsia"/>
                <w:b/>
                <w:bCs/>
                <w:kern w:val="0"/>
                <w:sz w:val="24"/>
              </w:rPr>
            </w:pPr>
            <w:r>
              <w:rPr>
                <w:rFonts w:hint="eastAsia" w:eastAsiaTheme="minorEastAsia"/>
                <w:b/>
                <w:bCs/>
                <w:kern w:val="0"/>
                <w:sz w:val="24"/>
                <w:lang w:val="en-US" w:eastAsia="zh-CN"/>
              </w:rPr>
              <w:t>科室</w:t>
            </w:r>
            <w:r>
              <w:rPr>
                <w:rFonts w:eastAsiaTheme="minorEastAsia"/>
                <w:b/>
                <w:bCs/>
                <w:kern w:val="0"/>
                <w:sz w:val="24"/>
              </w:rPr>
              <w:t>名称</w:t>
            </w:r>
          </w:p>
        </w:tc>
        <w:tc>
          <w:tcPr>
            <w:tcW w:w="874" w:type="dxa"/>
            <w:tcBorders>
              <w:top w:val="single" w:color="auto" w:sz="4" w:space="0"/>
              <w:bottom w:val="single" w:color="auto" w:sz="4" w:space="0"/>
            </w:tcBorders>
          </w:tcPr>
          <w:p>
            <w:pPr>
              <w:widowControl/>
              <w:spacing w:line="360" w:lineRule="auto"/>
              <w:jc w:val="center"/>
              <w:rPr>
                <w:rFonts w:eastAsiaTheme="minorEastAsia"/>
                <w:b/>
                <w:bCs/>
                <w:kern w:val="0"/>
                <w:sz w:val="24"/>
              </w:rPr>
            </w:pPr>
            <w:r>
              <w:rPr>
                <w:rFonts w:eastAsiaTheme="minorEastAsia"/>
                <w:b/>
                <w:bCs/>
                <w:kern w:val="0"/>
                <w:sz w:val="24"/>
              </w:rPr>
              <w:t>周</w:t>
            </w:r>
          </w:p>
        </w:tc>
        <w:tc>
          <w:tcPr>
            <w:tcW w:w="937" w:type="dxa"/>
            <w:tcBorders>
              <w:top w:val="single" w:color="auto" w:sz="4" w:space="0"/>
              <w:bottom w:val="single" w:color="auto" w:sz="4" w:space="0"/>
            </w:tcBorders>
          </w:tcPr>
          <w:p>
            <w:pPr>
              <w:widowControl/>
              <w:spacing w:line="360" w:lineRule="auto"/>
              <w:jc w:val="center"/>
              <w:rPr>
                <w:rFonts w:hint="default" w:eastAsiaTheme="minorEastAsia"/>
                <w:b/>
                <w:bCs/>
                <w:kern w:val="0"/>
                <w:sz w:val="24"/>
                <w:lang w:val="en-US" w:eastAsia="zh-CN"/>
              </w:rPr>
            </w:pPr>
            <w:r>
              <w:rPr>
                <w:rFonts w:hint="eastAsia" w:eastAsiaTheme="minorEastAsia"/>
                <w:b/>
                <w:bCs/>
                <w:kern w:val="0"/>
                <w:sz w:val="24"/>
                <w:lang w:val="en-US" w:eastAsia="zh-CN"/>
              </w:rPr>
              <w:t>学分</w:t>
            </w:r>
          </w:p>
        </w:tc>
        <w:tc>
          <w:tcPr>
            <w:tcW w:w="1285" w:type="dxa"/>
            <w:tcBorders>
              <w:top w:val="single" w:color="auto" w:sz="4" w:space="0"/>
              <w:bottom w:val="single" w:color="auto" w:sz="4" w:space="0"/>
            </w:tcBorders>
          </w:tcPr>
          <w:p>
            <w:pPr>
              <w:widowControl/>
              <w:spacing w:line="360" w:lineRule="auto"/>
              <w:jc w:val="center"/>
              <w:rPr>
                <w:rFonts w:eastAsiaTheme="minorEastAsia"/>
                <w:b/>
                <w:bCs/>
                <w:kern w:val="0"/>
                <w:sz w:val="24"/>
              </w:rPr>
            </w:pPr>
            <w:r>
              <w:rPr>
                <w:rFonts w:hint="eastAsia" w:eastAsiaTheme="minorEastAsia"/>
                <w:b/>
                <w:bCs/>
                <w:kern w:val="0"/>
                <w:sz w:val="24"/>
                <w:lang w:val="en-US" w:eastAsia="zh-CN"/>
              </w:rPr>
              <w:t>科室</w:t>
            </w:r>
            <w:r>
              <w:rPr>
                <w:rFonts w:eastAsiaTheme="minorEastAsia"/>
                <w:b/>
                <w:bCs/>
                <w:kern w:val="0"/>
                <w:sz w:val="24"/>
              </w:rPr>
              <w:t>名称</w:t>
            </w:r>
          </w:p>
        </w:tc>
        <w:tc>
          <w:tcPr>
            <w:tcW w:w="1272" w:type="dxa"/>
            <w:tcBorders>
              <w:top w:val="single" w:color="auto" w:sz="4" w:space="0"/>
              <w:bottom w:val="single" w:color="auto" w:sz="4" w:space="0"/>
            </w:tcBorders>
          </w:tcPr>
          <w:p>
            <w:pPr>
              <w:widowControl/>
              <w:spacing w:line="360" w:lineRule="auto"/>
              <w:jc w:val="center"/>
              <w:rPr>
                <w:rFonts w:eastAsiaTheme="minorEastAsia"/>
                <w:b/>
                <w:bCs/>
                <w:kern w:val="0"/>
                <w:sz w:val="24"/>
              </w:rPr>
            </w:pPr>
            <w:r>
              <w:rPr>
                <w:rFonts w:eastAsiaTheme="minorEastAsia"/>
                <w:b/>
                <w:bCs/>
                <w:kern w:val="0"/>
                <w:sz w:val="24"/>
              </w:rPr>
              <w:t>周</w:t>
            </w:r>
          </w:p>
        </w:tc>
        <w:tc>
          <w:tcPr>
            <w:tcW w:w="1289" w:type="dxa"/>
            <w:tcBorders>
              <w:top w:val="single" w:color="auto" w:sz="4" w:space="0"/>
              <w:bottom w:val="single" w:color="auto" w:sz="4" w:space="0"/>
            </w:tcBorders>
          </w:tcPr>
          <w:p>
            <w:pPr>
              <w:widowControl/>
              <w:spacing w:line="360" w:lineRule="auto"/>
              <w:jc w:val="center"/>
              <w:rPr>
                <w:rFonts w:hint="eastAsia" w:eastAsiaTheme="minorEastAsia"/>
                <w:b/>
                <w:bCs/>
                <w:kern w:val="0"/>
                <w:sz w:val="24"/>
                <w:lang w:val="en-US" w:eastAsia="zh-CN"/>
              </w:rPr>
            </w:pPr>
            <w:r>
              <w:rPr>
                <w:rFonts w:hint="eastAsia" w:eastAsiaTheme="minorEastAsia"/>
                <w:b/>
                <w:bCs/>
                <w:kern w:val="0"/>
                <w:sz w:val="24"/>
                <w:lang w:val="en-US" w:eastAsia="zh-CN"/>
              </w:rPr>
              <w:t>学分</w:t>
            </w:r>
          </w:p>
        </w:tc>
      </w:tr>
      <w:tr>
        <w:tblPrEx>
          <w:tblCellMar>
            <w:top w:w="0" w:type="dxa"/>
            <w:left w:w="108" w:type="dxa"/>
            <w:bottom w:w="0" w:type="dxa"/>
            <w:right w:w="108" w:type="dxa"/>
          </w:tblCellMar>
        </w:tblPrEx>
        <w:trPr>
          <w:trHeight w:val="480" w:hRule="atLeast"/>
          <w:jc w:val="center"/>
        </w:trPr>
        <w:tc>
          <w:tcPr>
            <w:tcW w:w="1665" w:type="dxa"/>
            <w:tcBorders>
              <w:top w:val="single" w:color="auto" w:sz="4" w:space="0"/>
            </w:tcBorders>
          </w:tcPr>
          <w:p>
            <w:pPr>
              <w:widowControl/>
              <w:spacing w:line="360" w:lineRule="auto"/>
              <w:rPr>
                <w:rFonts w:hint="eastAsia" w:eastAsiaTheme="minorEastAsia"/>
                <w:kern w:val="0"/>
                <w:sz w:val="24"/>
                <w:lang w:eastAsia="zh-CN"/>
              </w:rPr>
            </w:pPr>
            <w:r>
              <w:rPr>
                <w:rFonts w:hint="eastAsia" w:eastAsiaTheme="minorEastAsia"/>
                <w:kern w:val="0"/>
                <w:sz w:val="24"/>
                <w:lang w:val="en-US" w:eastAsia="zh-CN"/>
              </w:rPr>
              <w:t>药学部门</w:t>
            </w:r>
          </w:p>
        </w:tc>
        <w:tc>
          <w:tcPr>
            <w:tcW w:w="874" w:type="dxa"/>
            <w:tcBorders>
              <w:top w:val="single" w:color="auto" w:sz="4" w:space="0"/>
            </w:tcBorders>
          </w:tcPr>
          <w:p>
            <w:pPr>
              <w:widowControl/>
              <w:spacing w:line="360" w:lineRule="auto"/>
              <w:jc w:val="center"/>
              <w:rPr>
                <w:rFonts w:eastAsiaTheme="minorEastAsia"/>
                <w:kern w:val="0"/>
                <w:sz w:val="24"/>
              </w:rPr>
            </w:pPr>
            <w:r>
              <w:rPr>
                <w:rFonts w:eastAsiaTheme="minorEastAsia"/>
                <w:kern w:val="0"/>
                <w:sz w:val="24"/>
              </w:rPr>
              <w:t>12</w:t>
            </w:r>
          </w:p>
        </w:tc>
        <w:tc>
          <w:tcPr>
            <w:tcW w:w="937" w:type="dxa"/>
            <w:tcBorders>
              <w:top w:val="single" w:color="auto" w:sz="4" w:space="0"/>
            </w:tcBorders>
            <w:vAlign w:val="top"/>
          </w:tcPr>
          <w:p>
            <w:pPr>
              <w:widowControl/>
              <w:spacing w:line="360" w:lineRule="auto"/>
              <w:jc w:val="center"/>
              <w:rPr>
                <w:rFonts w:hint="eastAsia" w:eastAsiaTheme="minorEastAsia"/>
                <w:kern w:val="0"/>
                <w:sz w:val="24"/>
                <w:lang w:val="en-US" w:eastAsia="zh-CN"/>
              </w:rPr>
            </w:pPr>
            <w:r>
              <w:rPr>
                <w:rFonts w:hint="eastAsia" w:eastAsiaTheme="minorEastAsia"/>
                <w:kern w:val="0"/>
                <w:sz w:val="24"/>
                <w:lang w:val="en-US" w:eastAsia="zh-CN"/>
              </w:rPr>
              <w:t>6</w:t>
            </w:r>
          </w:p>
        </w:tc>
        <w:tc>
          <w:tcPr>
            <w:tcW w:w="1285" w:type="dxa"/>
            <w:tcBorders>
              <w:top w:val="single" w:color="auto" w:sz="4" w:space="0"/>
            </w:tcBorders>
            <w:vAlign w:val="top"/>
          </w:tcPr>
          <w:p>
            <w:pPr>
              <w:widowControl/>
              <w:spacing w:line="360" w:lineRule="auto"/>
              <w:rPr>
                <w:rFonts w:ascii="Times New Roman" w:hAnsi="Times New Roman" w:cs="Times New Roman" w:eastAsiaTheme="minorEastAsia"/>
                <w:kern w:val="0"/>
                <w:sz w:val="24"/>
                <w:szCs w:val="24"/>
                <w:lang w:val="en-US" w:eastAsia="zh-CN" w:bidi="ar-SA"/>
              </w:rPr>
            </w:pPr>
            <w:r>
              <w:rPr>
                <w:rFonts w:eastAsiaTheme="minorEastAsia"/>
                <w:kern w:val="0"/>
                <w:sz w:val="24"/>
              </w:rPr>
              <w:t>内科</w:t>
            </w:r>
          </w:p>
        </w:tc>
        <w:tc>
          <w:tcPr>
            <w:tcW w:w="1272" w:type="dxa"/>
            <w:tcBorders>
              <w:top w:val="single" w:color="auto" w:sz="4" w:space="0"/>
            </w:tcBorders>
            <w:vAlign w:val="top"/>
          </w:tcPr>
          <w:p>
            <w:pPr>
              <w:widowControl/>
              <w:spacing w:line="360" w:lineRule="auto"/>
              <w:jc w:val="center"/>
              <w:rPr>
                <w:rFonts w:ascii="Times New Roman" w:hAnsi="Times New Roman" w:cs="Times New Roman" w:eastAsiaTheme="minorEastAsia"/>
                <w:kern w:val="0"/>
                <w:sz w:val="24"/>
                <w:szCs w:val="24"/>
                <w:lang w:val="en-US" w:eastAsia="zh-CN" w:bidi="ar-SA"/>
              </w:rPr>
            </w:pPr>
            <w:r>
              <w:rPr>
                <w:rFonts w:eastAsiaTheme="minorEastAsia"/>
                <w:kern w:val="0"/>
                <w:sz w:val="24"/>
              </w:rPr>
              <w:t>24</w:t>
            </w:r>
          </w:p>
        </w:tc>
        <w:tc>
          <w:tcPr>
            <w:tcW w:w="1289" w:type="dxa"/>
            <w:tcBorders>
              <w:top w:val="single" w:color="auto" w:sz="4" w:space="0"/>
            </w:tcBorders>
            <w:vAlign w:val="top"/>
          </w:tcPr>
          <w:p>
            <w:pPr>
              <w:widowControl/>
              <w:spacing w:line="360" w:lineRule="auto"/>
              <w:jc w:val="center"/>
              <w:rPr>
                <w:rFonts w:hint="default" w:eastAsiaTheme="minorEastAsia"/>
                <w:kern w:val="0"/>
                <w:sz w:val="24"/>
                <w:lang w:val="en-US" w:eastAsia="zh-CN"/>
              </w:rPr>
            </w:pPr>
            <w:r>
              <w:rPr>
                <w:rFonts w:hint="eastAsia" w:eastAsiaTheme="minorEastAsia"/>
                <w:kern w:val="0"/>
                <w:sz w:val="24"/>
                <w:lang w:val="en-US" w:eastAsia="zh-CN"/>
              </w:rPr>
              <w:t>12</w:t>
            </w:r>
          </w:p>
        </w:tc>
      </w:tr>
      <w:tr>
        <w:tblPrEx>
          <w:tblCellMar>
            <w:top w:w="0" w:type="dxa"/>
            <w:left w:w="108" w:type="dxa"/>
            <w:bottom w:w="0" w:type="dxa"/>
            <w:right w:w="108" w:type="dxa"/>
          </w:tblCellMar>
        </w:tblPrEx>
        <w:trPr>
          <w:trHeight w:val="470" w:hRule="atLeast"/>
          <w:jc w:val="center"/>
        </w:trPr>
        <w:tc>
          <w:tcPr>
            <w:tcW w:w="1665" w:type="dxa"/>
          </w:tcPr>
          <w:p>
            <w:pPr>
              <w:widowControl/>
              <w:spacing w:line="360" w:lineRule="auto"/>
              <w:rPr>
                <w:rFonts w:eastAsiaTheme="minorEastAsia"/>
                <w:kern w:val="0"/>
                <w:sz w:val="24"/>
              </w:rPr>
            </w:pPr>
          </w:p>
        </w:tc>
        <w:tc>
          <w:tcPr>
            <w:tcW w:w="874" w:type="dxa"/>
          </w:tcPr>
          <w:p>
            <w:pPr>
              <w:widowControl/>
              <w:spacing w:line="360" w:lineRule="auto"/>
              <w:jc w:val="center"/>
              <w:rPr>
                <w:rFonts w:eastAsiaTheme="minorEastAsia"/>
                <w:kern w:val="0"/>
                <w:sz w:val="24"/>
              </w:rPr>
            </w:pPr>
          </w:p>
        </w:tc>
        <w:tc>
          <w:tcPr>
            <w:tcW w:w="937" w:type="dxa"/>
            <w:vAlign w:val="top"/>
          </w:tcPr>
          <w:p>
            <w:pPr>
              <w:widowControl/>
              <w:spacing w:line="360" w:lineRule="auto"/>
              <w:jc w:val="center"/>
              <w:rPr>
                <w:rFonts w:eastAsiaTheme="minorEastAsia"/>
                <w:kern w:val="0"/>
                <w:sz w:val="24"/>
              </w:rPr>
            </w:pPr>
          </w:p>
        </w:tc>
        <w:tc>
          <w:tcPr>
            <w:tcW w:w="1285" w:type="dxa"/>
            <w:vAlign w:val="top"/>
          </w:tcPr>
          <w:p>
            <w:pPr>
              <w:widowControl/>
              <w:spacing w:line="360" w:lineRule="auto"/>
              <w:rPr>
                <w:rFonts w:ascii="Times New Roman" w:hAnsi="Times New Roman" w:cs="Times New Roman" w:eastAsiaTheme="minorEastAsia"/>
                <w:kern w:val="0"/>
                <w:sz w:val="24"/>
                <w:szCs w:val="24"/>
                <w:lang w:val="en-US" w:eastAsia="zh-CN" w:bidi="ar-SA"/>
              </w:rPr>
            </w:pPr>
            <w:r>
              <w:rPr>
                <w:rFonts w:eastAsiaTheme="minorEastAsia"/>
                <w:kern w:val="0"/>
                <w:sz w:val="24"/>
              </w:rPr>
              <w:t>普外科</w:t>
            </w:r>
          </w:p>
        </w:tc>
        <w:tc>
          <w:tcPr>
            <w:tcW w:w="1272" w:type="dxa"/>
            <w:vAlign w:val="top"/>
          </w:tcPr>
          <w:p>
            <w:pPr>
              <w:widowControl/>
              <w:spacing w:line="360" w:lineRule="auto"/>
              <w:jc w:val="center"/>
              <w:rPr>
                <w:rFonts w:ascii="Times New Roman" w:hAnsi="Times New Roman" w:cs="Times New Roman" w:eastAsiaTheme="minorEastAsia"/>
                <w:kern w:val="0"/>
                <w:sz w:val="24"/>
                <w:szCs w:val="24"/>
                <w:lang w:val="en-US" w:eastAsia="zh-CN" w:bidi="ar-SA"/>
              </w:rPr>
            </w:pPr>
            <w:r>
              <w:rPr>
                <w:rFonts w:eastAsiaTheme="minorEastAsia"/>
                <w:kern w:val="0"/>
                <w:sz w:val="24"/>
              </w:rPr>
              <w:t>6</w:t>
            </w:r>
          </w:p>
        </w:tc>
        <w:tc>
          <w:tcPr>
            <w:tcW w:w="1289" w:type="dxa"/>
            <w:vAlign w:val="top"/>
          </w:tcPr>
          <w:p>
            <w:pPr>
              <w:widowControl/>
              <w:spacing w:line="360" w:lineRule="auto"/>
              <w:jc w:val="center"/>
              <w:rPr>
                <w:rFonts w:hint="eastAsia" w:eastAsiaTheme="minorEastAsia"/>
                <w:kern w:val="0"/>
                <w:sz w:val="24"/>
                <w:lang w:val="en-US" w:eastAsia="zh-CN"/>
              </w:rPr>
            </w:pPr>
            <w:r>
              <w:rPr>
                <w:rFonts w:hint="eastAsia" w:eastAsiaTheme="minorEastAsia"/>
                <w:kern w:val="0"/>
                <w:sz w:val="24"/>
                <w:lang w:val="en-US" w:eastAsia="zh-CN"/>
              </w:rPr>
              <w:t>3</w:t>
            </w:r>
          </w:p>
        </w:tc>
      </w:tr>
      <w:tr>
        <w:tblPrEx>
          <w:tblCellMar>
            <w:top w:w="0" w:type="dxa"/>
            <w:left w:w="108" w:type="dxa"/>
            <w:bottom w:w="0" w:type="dxa"/>
            <w:right w:w="108" w:type="dxa"/>
          </w:tblCellMar>
        </w:tblPrEx>
        <w:trPr>
          <w:trHeight w:val="470" w:hRule="atLeast"/>
          <w:jc w:val="center"/>
        </w:trPr>
        <w:tc>
          <w:tcPr>
            <w:tcW w:w="1665" w:type="dxa"/>
            <w:tcBorders>
              <w:bottom w:val="nil"/>
            </w:tcBorders>
          </w:tcPr>
          <w:p>
            <w:pPr>
              <w:widowControl/>
              <w:spacing w:line="360" w:lineRule="auto"/>
              <w:rPr>
                <w:rFonts w:eastAsiaTheme="minorEastAsia"/>
                <w:kern w:val="0"/>
                <w:sz w:val="24"/>
              </w:rPr>
            </w:pPr>
          </w:p>
        </w:tc>
        <w:tc>
          <w:tcPr>
            <w:tcW w:w="874" w:type="dxa"/>
            <w:tcBorders>
              <w:bottom w:val="nil"/>
            </w:tcBorders>
          </w:tcPr>
          <w:p>
            <w:pPr>
              <w:widowControl/>
              <w:spacing w:line="360" w:lineRule="auto"/>
              <w:jc w:val="center"/>
              <w:rPr>
                <w:rFonts w:eastAsiaTheme="minorEastAsia"/>
                <w:kern w:val="0"/>
                <w:sz w:val="24"/>
              </w:rPr>
            </w:pPr>
          </w:p>
        </w:tc>
        <w:tc>
          <w:tcPr>
            <w:tcW w:w="937" w:type="dxa"/>
            <w:tcBorders>
              <w:bottom w:val="nil"/>
            </w:tcBorders>
            <w:vAlign w:val="top"/>
          </w:tcPr>
          <w:p>
            <w:pPr>
              <w:widowControl/>
              <w:spacing w:line="360" w:lineRule="auto"/>
              <w:jc w:val="center"/>
              <w:rPr>
                <w:rFonts w:eastAsiaTheme="minorEastAsia"/>
                <w:kern w:val="0"/>
                <w:sz w:val="24"/>
              </w:rPr>
            </w:pPr>
          </w:p>
        </w:tc>
        <w:tc>
          <w:tcPr>
            <w:tcW w:w="1285" w:type="dxa"/>
            <w:tcBorders>
              <w:bottom w:val="nil"/>
            </w:tcBorders>
            <w:vAlign w:val="top"/>
          </w:tcPr>
          <w:p>
            <w:pPr>
              <w:widowControl/>
              <w:spacing w:line="360" w:lineRule="auto"/>
              <w:rPr>
                <w:rFonts w:ascii="Times New Roman" w:hAnsi="Times New Roman" w:cs="Times New Roman" w:eastAsiaTheme="minorEastAsia"/>
                <w:kern w:val="0"/>
                <w:sz w:val="24"/>
                <w:szCs w:val="24"/>
                <w:lang w:val="en-US" w:eastAsia="zh-CN" w:bidi="ar-SA"/>
              </w:rPr>
            </w:pPr>
            <w:r>
              <w:rPr>
                <w:rFonts w:eastAsiaTheme="minorEastAsia"/>
                <w:kern w:val="0"/>
                <w:sz w:val="24"/>
              </w:rPr>
              <w:t>妇产科</w:t>
            </w:r>
          </w:p>
        </w:tc>
        <w:tc>
          <w:tcPr>
            <w:tcW w:w="1272" w:type="dxa"/>
            <w:tcBorders>
              <w:bottom w:val="nil"/>
            </w:tcBorders>
            <w:vAlign w:val="top"/>
          </w:tcPr>
          <w:p>
            <w:pPr>
              <w:widowControl/>
              <w:spacing w:line="360" w:lineRule="auto"/>
              <w:jc w:val="center"/>
              <w:rPr>
                <w:rFonts w:ascii="Times New Roman" w:hAnsi="Times New Roman" w:cs="Times New Roman" w:eastAsiaTheme="minorEastAsia"/>
                <w:kern w:val="0"/>
                <w:sz w:val="24"/>
                <w:szCs w:val="24"/>
                <w:lang w:val="en-US" w:eastAsia="zh-CN" w:bidi="ar-SA"/>
              </w:rPr>
            </w:pPr>
            <w:r>
              <w:rPr>
                <w:rFonts w:eastAsiaTheme="minorEastAsia"/>
                <w:kern w:val="0"/>
                <w:sz w:val="24"/>
              </w:rPr>
              <w:t>3</w:t>
            </w:r>
          </w:p>
        </w:tc>
        <w:tc>
          <w:tcPr>
            <w:tcW w:w="1289" w:type="dxa"/>
            <w:tcBorders>
              <w:bottom w:val="nil"/>
            </w:tcBorders>
            <w:vAlign w:val="top"/>
          </w:tcPr>
          <w:p>
            <w:pPr>
              <w:widowControl/>
              <w:spacing w:line="360" w:lineRule="auto"/>
              <w:jc w:val="center"/>
              <w:rPr>
                <w:rFonts w:hint="default" w:eastAsiaTheme="minorEastAsia"/>
                <w:kern w:val="0"/>
                <w:sz w:val="24"/>
                <w:lang w:val="en-US" w:eastAsia="zh-CN"/>
              </w:rPr>
            </w:pPr>
            <w:r>
              <w:rPr>
                <w:rFonts w:hint="eastAsia" w:eastAsiaTheme="minorEastAsia"/>
                <w:kern w:val="0"/>
                <w:sz w:val="24"/>
                <w:lang w:val="en-US" w:eastAsia="zh-CN"/>
              </w:rPr>
              <w:t>1.5</w:t>
            </w:r>
          </w:p>
        </w:tc>
      </w:tr>
      <w:tr>
        <w:tblPrEx>
          <w:tblCellMar>
            <w:top w:w="0" w:type="dxa"/>
            <w:left w:w="108" w:type="dxa"/>
            <w:bottom w:w="0" w:type="dxa"/>
            <w:right w:w="108" w:type="dxa"/>
          </w:tblCellMar>
        </w:tblPrEx>
        <w:trPr>
          <w:trHeight w:val="470" w:hRule="atLeast"/>
          <w:jc w:val="center"/>
        </w:trPr>
        <w:tc>
          <w:tcPr>
            <w:tcW w:w="1665" w:type="dxa"/>
            <w:tcBorders>
              <w:top w:val="nil"/>
              <w:left w:val="nil"/>
              <w:bottom w:val="nil"/>
              <w:right w:val="nil"/>
            </w:tcBorders>
            <w:vAlign w:val="top"/>
          </w:tcPr>
          <w:p>
            <w:pPr>
              <w:widowControl/>
              <w:spacing w:line="360" w:lineRule="auto"/>
              <w:rPr>
                <w:rFonts w:eastAsiaTheme="minorEastAsia"/>
                <w:kern w:val="0"/>
                <w:sz w:val="24"/>
              </w:rPr>
            </w:pPr>
          </w:p>
        </w:tc>
        <w:tc>
          <w:tcPr>
            <w:tcW w:w="874" w:type="dxa"/>
            <w:tcBorders>
              <w:top w:val="nil"/>
              <w:left w:val="nil"/>
              <w:bottom w:val="nil"/>
              <w:right w:val="nil"/>
            </w:tcBorders>
            <w:vAlign w:val="top"/>
          </w:tcPr>
          <w:p>
            <w:pPr>
              <w:widowControl/>
              <w:spacing w:line="360" w:lineRule="auto"/>
              <w:jc w:val="center"/>
              <w:rPr>
                <w:rFonts w:eastAsiaTheme="minorEastAsia"/>
                <w:kern w:val="0"/>
                <w:sz w:val="24"/>
              </w:rPr>
            </w:pPr>
          </w:p>
        </w:tc>
        <w:tc>
          <w:tcPr>
            <w:tcW w:w="937" w:type="dxa"/>
            <w:tcBorders>
              <w:top w:val="nil"/>
              <w:left w:val="nil"/>
              <w:bottom w:val="nil"/>
              <w:right w:val="nil"/>
            </w:tcBorders>
            <w:vAlign w:val="top"/>
          </w:tcPr>
          <w:p>
            <w:pPr>
              <w:widowControl/>
              <w:spacing w:line="360" w:lineRule="auto"/>
              <w:jc w:val="center"/>
              <w:rPr>
                <w:rFonts w:eastAsiaTheme="minorEastAsia"/>
                <w:kern w:val="0"/>
                <w:sz w:val="24"/>
              </w:rPr>
            </w:pPr>
          </w:p>
        </w:tc>
        <w:tc>
          <w:tcPr>
            <w:tcW w:w="1285" w:type="dxa"/>
            <w:tcBorders>
              <w:top w:val="nil"/>
              <w:left w:val="nil"/>
              <w:bottom w:val="nil"/>
              <w:right w:val="nil"/>
            </w:tcBorders>
            <w:vAlign w:val="top"/>
          </w:tcPr>
          <w:p>
            <w:pPr>
              <w:widowControl/>
              <w:spacing w:line="360" w:lineRule="auto"/>
              <w:rPr>
                <w:rFonts w:ascii="Times New Roman" w:hAnsi="Times New Roman" w:cs="Times New Roman" w:eastAsiaTheme="minorEastAsia"/>
                <w:kern w:val="0"/>
                <w:sz w:val="24"/>
                <w:szCs w:val="24"/>
                <w:lang w:val="en-US" w:eastAsia="zh-CN" w:bidi="ar-SA"/>
              </w:rPr>
            </w:pPr>
            <w:r>
              <w:rPr>
                <w:rFonts w:eastAsiaTheme="minorEastAsia"/>
                <w:kern w:val="0"/>
                <w:sz w:val="24"/>
              </w:rPr>
              <w:t>儿科</w:t>
            </w:r>
          </w:p>
        </w:tc>
        <w:tc>
          <w:tcPr>
            <w:tcW w:w="1272" w:type="dxa"/>
            <w:tcBorders>
              <w:top w:val="nil"/>
              <w:left w:val="nil"/>
              <w:bottom w:val="nil"/>
              <w:right w:val="nil"/>
            </w:tcBorders>
            <w:vAlign w:val="top"/>
          </w:tcPr>
          <w:p>
            <w:pPr>
              <w:widowControl/>
              <w:spacing w:line="360" w:lineRule="auto"/>
              <w:jc w:val="center"/>
              <w:rPr>
                <w:rFonts w:ascii="Times New Roman" w:hAnsi="Times New Roman" w:cs="Times New Roman" w:eastAsiaTheme="minorEastAsia"/>
                <w:kern w:val="0"/>
                <w:sz w:val="24"/>
                <w:szCs w:val="24"/>
                <w:lang w:val="en-US" w:eastAsia="zh-CN" w:bidi="ar-SA"/>
              </w:rPr>
            </w:pPr>
            <w:r>
              <w:rPr>
                <w:rFonts w:eastAsiaTheme="minorEastAsia"/>
                <w:kern w:val="0"/>
                <w:sz w:val="24"/>
              </w:rPr>
              <w:t>3</w:t>
            </w:r>
          </w:p>
        </w:tc>
        <w:tc>
          <w:tcPr>
            <w:tcW w:w="1289" w:type="dxa"/>
            <w:tcBorders>
              <w:top w:val="nil"/>
              <w:left w:val="nil"/>
              <w:bottom w:val="nil"/>
              <w:right w:val="nil"/>
            </w:tcBorders>
            <w:vAlign w:val="top"/>
          </w:tcPr>
          <w:p>
            <w:pPr>
              <w:widowControl/>
              <w:spacing w:line="360" w:lineRule="auto"/>
              <w:jc w:val="center"/>
              <w:rPr>
                <w:rFonts w:hint="default" w:eastAsiaTheme="minorEastAsia"/>
                <w:kern w:val="0"/>
                <w:sz w:val="24"/>
                <w:lang w:val="en-US" w:eastAsia="zh-CN"/>
              </w:rPr>
            </w:pPr>
            <w:r>
              <w:rPr>
                <w:rFonts w:hint="eastAsia" w:eastAsiaTheme="minorEastAsia"/>
                <w:kern w:val="0"/>
                <w:sz w:val="24"/>
                <w:lang w:val="en-US" w:eastAsia="zh-CN"/>
              </w:rPr>
              <w:t>1.5</w:t>
            </w:r>
          </w:p>
        </w:tc>
      </w:tr>
      <w:tr>
        <w:tblPrEx>
          <w:tblCellMar>
            <w:top w:w="0" w:type="dxa"/>
            <w:left w:w="108" w:type="dxa"/>
            <w:bottom w:w="0" w:type="dxa"/>
            <w:right w:w="108" w:type="dxa"/>
          </w:tblCellMar>
        </w:tblPrEx>
        <w:trPr>
          <w:trHeight w:val="480" w:hRule="atLeast"/>
          <w:jc w:val="center"/>
        </w:trPr>
        <w:tc>
          <w:tcPr>
            <w:tcW w:w="1665" w:type="dxa"/>
            <w:tcBorders>
              <w:top w:val="nil"/>
              <w:left w:val="nil"/>
              <w:bottom w:val="single" w:color="auto" w:sz="4" w:space="0"/>
              <w:right w:val="nil"/>
            </w:tcBorders>
            <w:vAlign w:val="top"/>
          </w:tcPr>
          <w:p>
            <w:pPr>
              <w:widowControl/>
              <w:spacing w:line="360" w:lineRule="auto"/>
              <w:jc w:val="both"/>
              <w:rPr>
                <w:rFonts w:hint="eastAsia" w:eastAsiaTheme="minorEastAsia"/>
                <w:kern w:val="0"/>
                <w:sz w:val="24"/>
                <w:lang w:val="en-US" w:eastAsia="zh-CN"/>
              </w:rPr>
            </w:pPr>
            <w:r>
              <w:rPr>
                <w:rFonts w:hint="eastAsia" w:eastAsiaTheme="minorEastAsia"/>
                <w:kern w:val="0"/>
                <w:sz w:val="24"/>
                <w:lang w:val="en-US" w:eastAsia="zh-CN"/>
              </w:rPr>
              <w:t>合计</w:t>
            </w:r>
          </w:p>
        </w:tc>
        <w:tc>
          <w:tcPr>
            <w:tcW w:w="874" w:type="dxa"/>
            <w:tcBorders>
              <w:top w:val="nil"/>
              <w:left w:val="nil"/>
              <w:bottom w:val="single" w:color="auto" w:sz="4" w:space="0"/>
              <w:right w:val="nil"/>
            </w:tcBorders>
            <w:vAlign w:val="top"/>
          </w:tcPr>
          <w:p>
            <w:pPr>
              <w:widowControl/>
              <w:spacing w:line="360" w:lineRule="auto"/>
              <w:jc w:val="center"/>
              <w:rPr>
                <w:rFonts w:hint="default" w:eastAsiaTheme="minorEastAsia"/>
                <w:kern w:val="0"/>
                <w:sz w:val="24"/>
                <w:lang w:val="en-US" w:eastAsia="zh-CN"/>
              </w:rPr>
            </w:pPr>
            <w:r>
              <w:rPr>
                <w:rFonts w:hint="eastAsia" w:eastAsiaTheme="minorEastAsia"/>
                <w:kern w:val="0"/>
                <w:sz w:val="24"/>
                <w:lang w:val="en-US" w:eastAsia="zh-CN"/>
              </w:rPr>
              <w:t>12</w:t>
            </w:r>
          </w:p>
        </w:tc>
        <w:tc>
          <w:tcPr>
            <w:tcW w:w="937" w:type="dxa"/>
            <w:tcBorders>
              <w:top w:val="nil"/>
              <w:left w:val="nil"/>
              <w:bottom w:val="single" w:color="auto" w:sz="4" w:space="0"/>
              <w:right w:val="nil"/>
            </w:tcBorders>
            <w:vAlign w:val="top"/>
          </w:tcPr>
          <w:p>
            <w:pPr>
              <w:widowControl/>
              <w:spacing w:line="360" w:lineRule="auto"/>
              <w:jc w:val="center"/>
              <w:rPr>
                <w:rFonts w:hint="default" w:eastAsiaTheme="minorEastAsia"/>
                <w:kern w:val="0"/>
                <w:sz w:val="24"/>
                <w:lang w:val="en-US" w:eastAsia="zh-CN"/>
              </w:rPr>
            </w:pPr>
            <w:r>
              <w:rPr>
                <w:rFonts w:hint="eastAsia" w:eastAsiaTheme="minorEastAsia"/>
                <w:kern w:val="0"/>
                <w:sz w:val="24"/>
                <w:lang w:val="en-US" w:eastAsia="zh-CN"/>
              </w:rPr>
              <w:t>6</w:t>
            </w:r>
          </w:p>
        </w:tc>
        <w:tc>
          <w:tcPr>
            <w:tcW w:w="1285" w:type="dxa"/>
            <w:tcBorders>
              <w:top w:val="nil"/>
              <w:left w:val="nil"/>
              <w:bottom w:val="single" w:color="auto" w:sz="4" w:space="0"/>
              <w:right w:val="nil"/>
            </w:tcBorders>
            <w:vAlign w:val="top"/>
          </w:tcPr>
          <w:p>
            <w:pPr>
              <w:widowControl/>
              <w:spacing w:line="360" w:lineRule="auto"/>
              <w:jc w:val="center"/>
              <w:rPr>
                <w:rFonts w:eastAsiaTheme="minorEastAsia"/>
                <w:kern w:val="0"/>
                <w:sz w:val="24"/>
              </w:rPr>
            </w:pPr>
          </w:p>
        </w:tc>
        <w:tc>
          <w:tcPr>
            <w:tcW w:w="1272" w:type="dxa"/>
            <w:tcBorders>
              <w:top w:val="nil"/>
              <w:left w:val="nil"/>
              <w:bottom w:val="single" w:color="auto" w:sz="4" w:space="0"/>
              <w:right w:val="nil"/>
            </w:tcBorders>
            <w:vAlign w:val="top"/>
          </w:tcPr>
          <w:p>
            <w:pPr>
              <w:widowControl/>
              <w:spacing w:line="360" w:lineRule="auto"/>
              <w:jc w:val="center"/>
              <w:rPr>
                <w:rFonts w:hint="default" w:eastAsiaTheme="minorEastAsia"/>
                <w:kern w:val="0"/>
                <w:sz w:val="24"/>
                <w:lang w:val="en-US" w:eastAsia="zh-CN"/>
              </w:rPr>
            </w:pPr>
            <w:r>
              <w:rPr>
                <w:rFonts w:hint="eastAsia" w:eastAsiaTheme="minorEastAsia"/>
                <w:kern w:val="0"/>
                <w:sz w:val="24"/>
                <w:lang w:val="en-US" w:eastAsia="zh-CN"/>
              </w:rPr>
              <w:t>36</w:t>
            </w:r>
          </w:p>
        </w:tc>
        <w:tc>
          <w:tcPr>
            <w:tcW w:w="1289" w:type="dxa"/>
            <w:tcBorders>
              <w:top w:val="nil"/>
              <w:left w:val="nil"/>
              <w:bottom w:val="single" w:color="auto" w:sz="4" w:space="0"/>
              <w:right w:val="nil"/>
            </w:tcBorders>
            <w:vAlign w:val="top"/>
          </w:tcPr>
          <w:p>
            <w:pPr>
              <w:widowControl/>
              <w:spacing w:line="360" w:lineRule="auto"/>
              <w:jc w:val="center"/>
              <w:rPr>
                <w:rFonts w:hint="default" w:eastAsiaTheme="minorEastAsia"/>
                <w:kern w:val="0"/>
                <w:sz w:val="24"/>
                <w:lang w:val="en-US" w:eastAsia="zh-CN"/>
              </w:rPr>
            </w:pPr>
            <w:r>
              <w:rPr>
                <w:rFonts w:hint="eastAsia" w:eastAsiaTheme="minorEastAsia"/>
                <w:kern w:val="0"/>
                <w:sz w:val="24"/>
                <w:lang w:val="en-US" w:eastAsia="zh-CN"/>
              </w:rPr>
              <w:t>18</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60" w:lineRule="auto"/>
        <w:ind w:firstLine="480" w:firstLineChars="200"/>
        <w:textAlignment w:val="auto"/>
        <w:rPr>
          <w:rStyle w:val="18"/>
          <w:rFonts w:hint="eastAsia" w:ascii="Times New Roman" w:hAnsi="Times New Roman" w:eastAsiaTheme="minorEastAsia" w:cstheme="minorBidi"/>
          <w:b w:val="0"/>
          <w:color w:val="FF0000"/>
          <w:kern w:val="0"/>
          <w:sz w:val="24"/>
          <w:szCs w:val="24"/>
          <w:lang w:val="en-US" w:eastAsia="zh-CN" w:bidi="ar-SA"/>
        </w:rPr>
      </w:pPr>
      <w:r>
        <w:rPr>
          <w:rStyle w:val="18"/>
          <w:rFonts w:hint="eastAsia" w:eastAsiaTheme="minorEastAsia" w:cstheme="minorBidi"/>
          <w:b w:val="0"/>
          <w:color w:val="FF0000"/>
          <w:kern w:val="0"/>
          <w:sz w:val="24"/>
          <w:szCs w:val="24"/>
          <w:lang w:val="en-US" w:eastAsia="zh-CN" w:bidi="ar-SA"/>
        </w:rPr>
        <w:t xml:space="preserve">2. </w:t>
      </w:r>
      <w:r>
        <w:rPr>
          <w:rStyle w:val="18"/>
          <w:rFonts w:hint="eastAsia" w:ascii="Times New Roman" w:hAnsi="Times New Roman" w:eastAsiaTheme="minorEastAsia" w:cstheme="minorBidi"/>
          <w:b w:val="0"/>
          <w:color w:val="FF0000"/>
          <w:kern w:val="0"/>
          <w:sz w:val="24"/>
          <w:szCs w:val="24"/>
          <w:lang w:val="en-US" w:eastAsia="zh-CN" w:bidi="ar-SA"/>
        </w:rPr>
        <w:t>机动假4周用于事假、考试、双选、公益活动等。</w:t>
      </w:r>
    </w:p>
    <w:p>
      <w:pPr>
        <w:spacing w:line="360" w:lineRule="auto"/>
        <w:ind w:firstLine="482" w:firstLineChars="200"/>
        <w:rPr>
          <w:rStyle w:val="18"/>
          <w:rFonts w:eastAsiaTheme="minorEastAsia"/>
          <w:sz w:val="24"/>
        </w:rPr>
      </w:pPr>
      <w:r>
        <w:rPr>
          <w:rStyle w:val="18"/>
          <w:rFonts w:eastAsiaTheme="minorEastAsia"/>
          <w:sz w:val="24"/>
        </w:rPr>
        <w:t>六、学制及修业年限</w:t>
      </w:r>
    </w:p>
    <w:p>
      <w:pPr>
        <w:pStyle w:val="14"/>
        <w:spacing w:before="0" w:beforeAutospacing="0" w:after="0" w:afterAutospacing="0" w:line="360" w:lineRule="auto"/>
        <w:ind w:firstLine="360" w:firstLineChars="150"/>
        <w:rPr>
          <w:rStyle w:val="18"/>
          <w:rFonts w:ascii="Times New Roman" w:hAnsi="Times New Roman" w:eastAsiaTheme="minorEastAsia"/>
          <w:b w:val="0"/>
        </w:rPr>
      </w:pPr>
      <w:r>
        <w:rPr>
          <w:rStyle w:val="18"/>
          <w:rFonts w:ascii="Times New Roman" w:hAnsi="Times New Roman" w:eastAsiaTheme="minorEastAsia"/>
          <w:b w:val="0"/>
        </w:rPr>
        <w:t>（一）基本学制：5年</w:t>
      </w:r>
    </w:p>
    <w:p>
      <w:pPr>
        <w:pStyle w:val="14"/>
        <w:spacing w:before="0" w:beforeAutospacing="0" w:after="0" w:afterAutospacing="0" w:line="360" w:lineRule="auto"/>
        <w:ind w:firstLine="360" w:firstLineChars="150"/>
        <w:rPr>
          <w:rStyle w:val="18"/>
          <w:rFonts w:ascii="Times New Roman" w:hAnsi="Times New Roman" w:eastAsiaTheme="minorEastAsia"/>
          <w:b w:val="0"/>
        </w:rPr>
      </w:pPr>
      <w:r>
        <w:rPr>
          <w:rStyle w:val="18"/>
          <w:rFonts w:ascii="Times New Roman" w:hAnsi="Times New Roman" w:eastAsiaTheme="minorEastAsia"/>
          <w:b w:val="0"/>
        </w:rPr>
        <w:t>（二）修业年限：5～8年</w:t>
      </w:r>
    </w:p>
    <w:p>
      <w:pPr>
        <w:pStyle w:val="14"/>
        <w:spacing w:before="0" w:beforeAutospacing="0" w:after="0" w:afterAutospacing="0" w:line="360" w:lineRule="auto"/>
        <w:ind w:firstLine="360" w:firstLineChars="150"/>
        <w:rPr>
          <w:rStyle w:val="18"/>
          <w:rFonts w:ascii="Times New Roman" w:hAnsi="Times New Roman" w:eastAsiaTheme="minorEastAsia"/>
          <w:b w:val="0"/>
        </w:rPr>
      </w:pPr>
      <w:r>
        <w:rPr>
          <w:rStyle w:val="18"/>
          <w:rFonts w:ascii="Times New Roman" w:hAnsi="Times New Roman" w:eastAsiaTheme="minorEastAsia"/>
          <w:b w:val="0"/>
        </w:rPr>
        <w:t>（三）各学年时间分配（见表2）</w:t>
      </w:r>
    </w:p>
    <w:p>
      <w:pPr>
        <w:pStyle w:val="14"/>
        <w:spacing w:before="0" w:beforeAutospacing="0" w:after="0" w:afterAutospacing="0" w:line="360" w:lineRule="auto"/>
        <w:ind w:firstLine="360" w:firstLineChars="150"/>
        <w:rPr>
          <w:rStyle w:val="18"/>
          <w:rFonts w:ascii="Times New Roman" w:hAnsi="Times New Roman" w:eastAsiaTheme="minorEastAsia"/>
          <w:b w:val="0"/>
        </w:rPr>
      </w:pPr>
    </w:p>
    <w:p>
      <w:pPr>
        <w:spacing w:after="78" w:afterLines="25" w:line="360" w:lineRule="auto"/>
        <w:jc w:val="center"/>
        <w:rPr>
          <w:rStyle w:val="18"/>
          <w:rFonts w:eastAsiaTheme="minorEastAsia"/>
          <w:b w:val="0"/>
          <w:bCs w:val="0"/>
          <w:sz w:val="24"/>
        </w:rPr>
      </w:pPr>
      <w:r>
        <w:rPr>
          <w:rStyle w:val="18"/>
          <w:rFonts w:eastAsiaTheme="minorEastAsia"/>
          <w:b w:val="0"/>
          <w:bCs w:val="0"/>
          <w:sz w:val="24"/>
        </w:rPr>
        <w:t>表2  五年制临床药学专业各学年时间分配表（单位：周）</w:t>
      </w:r>
    </w:p>
    <w:tbl>
      <w:tblPr>
        <w:tblStyle w:val="16"/>
        <w:tblW w:w="6553" w:type="dxa"/>
        <w:jc w:val="center"/>
        <w:tblLayout w:type="fixed"/>
        <w:tblCellMar>
          <w:top w:w="0" w:type="dxa"/>
          <w:left w:w="108" w:type="dxa"/>
          <w:bottom w:w="0" w:type="dxa"/>
          <w:right w:w="108" w:type="dxa"/>
        </w:tblCellMar>
      </w:tblPr>
      <w:tblGrid>
        <w:gridCol w:w="1143"/>
        <w:gridCol w:w="819"/>
        <w:gridCol w:w="819"/>
        <w:gridCol w:w="937"/>
        <w:gridCol w:w="715"/>
        <w:gridCol w:w="972"/>
        <w:gridCol w:w="1148"/>
      </w:tblGrid>
      <w:tr>
        <w:tblPrEx>
          <w:tblCellMar>
            <w:top w:w="0" w:type="dxa"/>
            <w:left w:w="108" w:type="dxa"/>
            <w:bottom w:w="0" w:type="dxa"/>
            <w:right w:w="108" w:type="dxa"/>
          </w:tblCellMar>
        </w:tblPrEx>
        <w:trPr>
          <w:jc w:val="center"/>
        </w:trPr>
        <w:tc>
          <w:tcPr>
            <w:tcW w:w="1143" w:type="dxa"/>
            <w:tcBorders>
              <w:top w:val="single" w:color="auto" w:sz="4" w:space="0"/>
              <w:left w:val="nil"/>
              <w:bottom w:val="single" w:color="auto" w:sz="4" w:space="0"/>
              <w:right w:val="nil"/>
            </w:tcBorders>
            <w:vAlign w:val="center"/>
          </w:tcPr>
          <w:p>
            <w:pPr>
              <w:spacing w:line="360" w:lineRule="auto"/>
              <w:jc w:val="center"/>
              <w:rPr>
                <w:rFonts w:eastAsiaTheme="minorEastAsia"/>
                <w:sz w:val="24"/>
              </w:rPr>
            </w:pPr>
            <w:r>
              <w:rPr>
                <w:rFonts w:eastAsiaTheme="minorEastAsia"/>
                <w:sz w:val="24"/>
              </w:rPr>
              <w:t>学年</w:t>
            </w:r>
          </w:p>
        </w:tc>
        <w:tc>
          <w:tcPr>
            <w:tcW w:w="819" w:type="dxa"/>
            <w:tcBorders>
              <w:top w:val="single" w:color="auto" w:sz="4" w:space="0"/>
              <w:left w:val="nil"/>
              <w:bottom w:val="single" w:color="auto" w:sz="4" w:space="0"/>
              <w:right w:val="nil"/>
            </w:tcBorders>
            <w:vAlign w:val="center"/>
          </w:tcPr>
          <w:p>
            <w:pPr>
              <w:spacing w:line="360" w:lineRule="auto"/>
              <w:jc w:val="center"/>
              <w:rPr>
                <w:rFonts w:eastAsiaTheme="minorEastAsia"/>
                <w:sz w:val="24"/>
              </w:rPr>
            </w:pPr>
            <w:r>
              <w:rPr>
                <w:rFonts w:eastAsiaTheme="minorEastAsia"/>
                <w:sz w:val="24"/>
              </w:rPr>
              <w:t>教学</w:t>
            </w:r>
          </w:p>
        </w:tc>
        <w:tc>
          <w:tcPr>
            <w:tcW w:w="819" w:type="dxa"/>
            <w:tcBorders>
              <w:top w:val="single" w:color="auto" w:sz="4" w:space="0"/>
              <w:left w:val="nil"/>
              <w:bottom w:val="single" w:color="auto" w:sz="4" w:space="0"/>
              <w:right w:val="nil"/>
            </w:tcBorders>
            <w:vAlign w:val="center"/>
          </w:tcPr>
          <w:p>
            <w:pPr>
              <w:spacing w:line="360" w:lineRule="auto"/>
              <w:jc w:val="center"/>
              <w:rPr>
                <w:rFonts w:eastAsiaTheme="minorEastAsia"/>
                <w:sz w:val="24"/>
              </w:rPr>
            </w:pPr>
            <w:r>
              <w:rPr>
                <w:rFonts w:eastAsiaTheme="minorEastAsia"/>
                <w:sz w:val="24"/>
              </w:rPr>
              <w:t>考试</w:t>
            </w:r>
          </w:p>
        </w:tc>
        <w:tc>
          <w:tcPr>
            <w:tcW w:w="937" w:type="dxa"/>
            <w:tcBorders>
              <w:top w:val="single" w:color="auto" w:sz="4" w:space="0"/>
              <w:left w:val="nil"/>
              <w:bottom w:val="single" w:color="auto" w:sz="4" w:space="0"/>
              <w:right w:val="nil"/>
            </w:tcBorders>
            <w:vAlign w:val="center"/>
          </w:tcPr>
          <w:p>
            <w:pPr>
              <w:spacing w:line="360" w:lineRule="auto"/>
              <w:jc w:val="center"/>
              <w:rPr>
                <w:rFonts w:eastAsiaTheme="minorEastAsia"/>
                <w:sz w:val="24"/>
              </w:rPr>
            </w:pPr>
            <w:r>
              <w:rPr>
                <w:rFonts w:eastAsiaTheme="minorEastAsia"/>
                <w:sz w:val="24"/>
              </w:rPr>
              <w:t>毕业 实习</w:t>
            </w:r>
          </w:p>
        </w:tc>
        <w:tc>
          <w:tcPr>
            <w:tcW w:w="715" w:type="dxa"/>
            <w:tcBorders>
              <w:top w:val="single" w:color="auto" w:sz="4" w:space="0"/>
              <w:left w:val="nil"/>
              <w:bottom w:val="single" w:color="auto" w:sz="4" w:space="0"/>
              <w:right w:val="nil"/>
            </w:tcBorders>
            <w:vAlign w:val="center"/>
          </w:tcPr>
          <w:p>
            <w:pPr>
              <w:spacing w:line="360" w:lineRule="auto"/>
              <w:jc w:val="center"/>
              <w:rPr>
                <w:rFonts w:eastAsiaTheme="minorEastAsia"/>
                <w:sz w:val="24"/>
              </w:rPr>
            </w:pPr>
            <w:r>
              <w:rPr>
                <w:rFonts w:eastAsiaTheme="minorEastAsia"/>
                <w:sz w:val="24"/>
              </w:rPr>
              <w:t>机动</w:t>
            </w:r>
          </w:p>
        </w:tc>
        <w:tc>
          <w:tcPr>
            <w:tcW w:w="972" w:type="dxa"/>
            <w:tcBorders>
              <w:top w:val="single" w:color="auto" w:sz="4" w:space="0"/>
              <w:left w:val="nil"/>
              <w:bottom w:val="single" w:color="auto" w:sz="4" w:space="0"/>
              <w:right w:val="nil"/>
            </w:tcBorders>
            <w:vAlign w:val="center"/>
          </w:tcPr>
          <w:p>
            <w:pPr>
              <w:spacing w:line="360" w:lineRule="auto"/>
              <w:jc w:val="center"/>
              <w:rPr>
                <w:rFonts w:eastAsiaTheme="minorEastAsia"/>
                <w:sz w:val="24"/>
              </w:rPr>
            </w:pPr>
            <w:r>
              <w:rPr>
                <w:rFonts w:eastAsiaTheme="minorEastAsia"/>
                <w:sz w:val="24"/>
              </w:rPr>
              <w:t>假期</w:t>
            </w:r>
          </w:p>
        </w:tc>
        <w:tc>
          <w:tcPr>
            <w:tcW w:w="1148" w:type="dxa"/>
            <w:tcBorders>
              <w:top w:val="single" w:color="auto" w:sz="4" w:space="0"/>
              <w:left w:val="nil"/>
              <w:bottom w:val="single" w:color="auto" w:sz="4" w:space="0"/>
              <w:right w:val="nil"/>
            </w:tcBorders>
            <w:vAlign w:val="center"/>
          </w:tcPr>
          <w:p>
            <w:pPr>
              <w:spacing w:line="360" w:lineRule="auto"/>
              <w:jc w:val="center"/>
              <w:rPr>
                <w:rFonts w:eastAsiaTheme="minorEastAsia"/>
                <w:sz w:val="24"/>
              </w:rPr>
            </w:pPr>
            <w:r>
              <w:rPr>
                <w:rFonts w:eastAsiaTheme="minorEastAsia"/>
                <w:sz w:val="24"/>
              </w:rPr>
              <w:t>合计</w:t>
            </w:r>
          </w:p>
        </w:tc>
      </w:tr>
      <w:tr>
        <w:tblPrEx>
          <w:tblCellMar>
            <w:top w:w="0" w:type="dxa"/>
            <w:left w:w="108" w:type="dxa"/>
            <w:bottom w:w="0" w:type="dxa"/>
            <w:right w:w="108" w:type="dxa"/>
          </w:tblCellMar>
        </w:tblPrEx>
        <w:trPr>
          <w:jc w:val="center"/>
        </w:trPr>
        <w:tc>
          <w:tcPr>
            <w:tcW w:w="1143" w:type="dxa"/>
            <w:tcBorders>
              <w:top w:val="single" w:color="auto" w:sz="4" w:space="0"/>
              <w:left w:val="nil"/>
              <w:bottom w:val="nil"/>
              <w:right w:val="nil"/>
            </w:tcBorders>
            <w:vAlign w:val="center"/>
          </w:tcPr>
          <w:p>
            <w:pPr>
              <w:spacing w:line="360" w:lineRule="auto"/>
              <w:jc w:val="center"/>
              <w:rPr>
                <w:rFonts w:eastAsiaTheme="minorEastAsia"/>
                <w:sz w:val="24"/>
              </w:rPr>
            </w:pPr>
            <w:r>
              <w:rPr>
                <w:rFonts w:eastAsiaTheme="minorEastAsia"/>
                <w:sz w:val="24"/>
              </w:rPr>
              <w:t>一</w:t>
            </w:r>
          </w:p>
        </w:tc>
        <w:tc>
          <w:tcPr>
            <w:tcW w:w="819" w:type="dxa"/>
            <w:tcBorders>
              <w:top w:val="single" w:color="auto" w:sz="4" w:space="0"/>
              <w:left w:val="nil"/>
              <w:bottom w:val="nil"/>
              <w:right w:val="nil"/>
            </w:tcBorders>
            <w:vAlign w:val="center"/>
          </w:tcPr>
          <w:p>
            <w:pPr>
              <w:spacing w:line="360" w:lineRule="auto"/>
              <w:jc w:val="center"/>
              <w:rPr>
                <w:rFonts w:eastAsiaTheme="minorEastAsia"/>
                <w:sz w:val="24"/>
              </w:rPr>
            </w:pPr>
            <w:r>
              <w:rPr>
                <w:rFonts w:eastAsiaTheme="minorEastAsia"/>
                <w:sz w:val="24"/>
              </w:rPr>
              <w:t>31</w:t>
            </w:r>
          </w:p>
        </w:tc>
        <w:tc>
          <w:tcPr>
            <w:tcW w:w="819" w:type="dxa"/>
            <w:tcBorders>
              <w:top w:val="single" w:color="auto" w:sz="4" w:space="0"/>
              <w:left w:val="nil"/>
              <w:bottom w:val="nil"/>
              <w:right w:val="nil"/>
            </w:tcBorders>
            <w:vAlign w:val="center"/>
          </w:tcPr>
          <w:p>
            <w:pPr>
              <w:spacing w:line="360" w:lineRule="auto"/>
              <w:jc w:val="center"/>
              <w:rPr>
                <w:rFonts w:eastAsiaTheme="minorEastAsia"/>
                <w:sz w:val="24"/>
              </w:rPr>
            </w:pPr>
            <w:r>
              <w:rPr>
                <w:rFonts w:eastAsiaTheme="minorEastAsia"/>
                <w:sz w:val="24"/>
              </w:rPr>
              <w:t>4</w:t>
            </w:r>
          </w:p>
        </w:tc>
        <w:tc>
          <w:tcPr>
            <w:tcW w:w="937" w:type="dxa"/>
            <w:tcBorders>
              <w:top w:val="single" w:color="auto" w:sz="4" w:space="0"/>
              <w:left w:val="nil"/>
              <w:bottom w:val="nil"/>
              <w:right w:val="nil"/>
            </w:tcBorders>
            <w:vAlign w:val="center"/>
          </w:tcPr>
          <w:p>
            <w:pPr>
              <w:spacing w:line="360" w:lineRule="auto"/>
              <w:jc w:val="center"/>
              <w:rPr>
                <w:rFonts w:eastAsiaTheme="minorEastAsia"/>
                <w:sz w:val="24"/>
              </w:rPr>
            </w:pPr>
            <w:r>
              <w:rPr>
                <w:rFonts w:eastAsiaTheme="minorEastAsia"/>
                <w:sz w:val="24"/>
              </w:rPr>
              <w:t>-</w:t>
            </w:r>
          </w:p>
        </w:tc>
        <w:tc>
          <w:tcPr>
            <w:tcW w:w="715" w:type="dxa"/>
            <w:tcBorders>
              <w:top w:val="single" w:color="auto" w:sz="4" w:space="0"/>
              <w:left w:val="nil"/>
              <w:bottom w:val="nil"/>
              <w:right w:val="nil"/>
            </w:tcBorders>
            <w:vAlign w:val="center"/>
          </w:tcPr>
          <w:p>
            <w:pPr>
              <w:spacing w:line="360" w:lineRule="auto"/>
              <w:jc w:val="center"/>
              <w:rPr>
                <w:rFonts w:eastAsiaTheme="minorEastAsia"/>
                <w:sz w:val="24"/>
              </w:rPr>
            </w:pPr>
            <w:r>
              <w:rPr>
                <w:rFonts w:eastAsiaTheme="minorEastAsia"/>
                <w:sz w:val="24"/>
              </w:rPr>
              <w:t>3</w:t>
            </w:r>
          </w:p>
        </w:tc>
        <w:tc>
          <w:tcPr>
            <w:tcW w:w="972" w:type="dxa"/>
            <w:tcBorders>
              <w:top w:val="single" w:color="auto" w:sz="4" w:space="0"/>
              <w:left w:val="nil"/>
              <w:bottom w:val="nil"/>
              <w:right w:val="nil"/>
            </w:tcBorders>
            <w:vAlign w:val="center"/>
          </w:tcPr>
          <w:p>
            <w:pPr>
              <w:spacing w:line="360" w:lineRule="auto"/>
              <w:jc w:val="center"/>
              <w:rPr>
                <w:rFonts w:eastAsiaTheme="minorEastAsia"/>
                <w:sz w:val="24"/>
              </w:rPr>
            </w:pPr>
            <w:r>
              <w:rPr>
                <w:rFonts w:eastAsiaTheme="minorEastAsia"/>
                <w:sz w:val="24"/>
              </w:rPr>
              <w:t>14</w:t>
            </w:r>
          </w:p>
        </w:tc>
        <w:tc>
          <w:tcPr>
            <w:tcW w:w="1148" w:type="dxa"/>
            <w:tcBorders>
              <w:top w:val="single" w:color="auto" w:sz="4" w:space="0"/>
              <w:left w:val="nil"/>
              <w:bottom w:val="nil"/>
              <w:right w:val="nil"/>
            </w:tcBorders>
            <w:vAlign w:val="center"/>
          </w:tcPr>
          <w:p>
            <w:pPr>
              <w:spacing w:line="360" w:lineRule="auto"/>
              <w:jc w:val="center"/>
              <w:rPr>
                <w:rFonts w:eastAsiaTheme="minorEastAsia"/>
                <w:sz w:val="24"/>
              </w:rPr>
            </w:pPr>
            <w:r>
              <w:rPr>
                <w:rFonts w:eastAsiaTheme="minorEastAsia"/>
                <w:sz w:val="24"/>
              </w:rPr>
              <w:t>52</w:t>
            </w:r>
          </w:p>
        </w:tc>
      </w:tr>
      <w:tr>
        <w:tblPrEx>
          <w:tblCellMar>
            <w:top w:w="0" w:type="dxa"/>
            <w:left w:w="108" w:type="dxa"/>
            <w:bottom w:w="0" w:type="dxa"/>
            <w:right w:w="108" w:type="dxa"/>
          </w:tblCellMar>
        </w:tblPrEx>
        <w:trPr>
          <w:jc w:val="center"/>
        </w:trPr>
        <w:tc>
          <w:tcPr>
            <w:tcW w:w="1143"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二</w:t>
            </w:r>
          </w:p>
        </w:tc>
        <w:tc>
          <w:tcPr>
            <w:tcW w:w="819"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32</w:t>
            </w:r>
          </w:p>
        </w:tc>
        <w:tc>
          <w:tcPr>
            <w:tcW w:w="819"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4</w:t>
            </w:r>
          </w:p>
        </w:tc>
        <w:tc>
          <w:tcPr>
            <w:tcW w:w="937"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w:t>
            </w:r>
          </w:p>
        </w:tc>
        <w:tc>
          <w:tcPr>
            <w:tcW w:w="715"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2</w:t>
            </w:r>
          </w:p>
        </w:tc>
        <w:tc>
          <w:tcPr>
            <w:tcW w:w="972"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14</w:t>
            </w:r>
          </w:p>
        </w:tc>
        <w:tc>
          <w:tcPr>
            <w:tcW w:w="1148"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52</w:t>
            </w:r>
          </w:p>
        </w:tc>
      </w:tr>
      <w:tr>
        <w:tblPrEx>
          <w:tblCellMar>
            <w:top w:w="0" w:type="dxa"/>
            <w:left w:w="108" w:type="dxa"/>
            <w:bottom w:w="0" w:type="dxa"/>
            <w:right w:w="108" w:type="dxa"/>
          </w:tblCellMar>
        </w:tblPrEx>
        <w:trPr>
          <w:jc w:val="center"/>
        </w:trPr>
        <w:tc>
          <w:tcPr>
            <w:tcW w:w="1143"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三</w:t>
            </w:r>
          </w:p>
        </w:tc>
        <w:tc>
          <w:tcPr>
            <w:tcW w:w="819"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32</w:t>
            </w:r>
          </w:p>
        </w:tc>
        <w:tc>
          <w:tcPr>
            <w:tcW w:w="819"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4</w:t>
            </w:r>
          </w:p>
        </w:tc>
        <w:tc>
          <w:tcPr>
            <w:tcW w:w="937"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w:t>
            </w:r>
          </w:p>
        </w:tc>
        <w:tc>
          <w:tcPr>
            <w:tcW w:w="715"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2</w:t>
            </w:r>
          </w:p>
        </w:tc>
        <w:tc>
          <w:tcPr>
            <w:tcW w:w="972"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14</w:t>
            </w:r>
          </w:p>
        </w:tc>
        <w:tc>
          <w:tcPr>
            <w:tcW w:w="1148"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52</w:t>
            </w:r>
          </w:p>
        </w:tc>
      </w:tr>
      <w:tr>
        <w:tblPrEx>
          <w:tblCellMar>
            <w:top w:w="0" w:type="dxa"/>
            <w:left w:w="108" w:type="dxa"/>
            <w:bottom w:w="0" w:type="dxa"/>
            <w:right w:w="108" w:type="dxa"/>
          </w:tblCellMar>
        </w:tblPrEx>
        <w:trPr>
          <w:jc w:val="center"/>
        </w:trPr>
        <w:tc>
          <w:tcPr>
            <w:tcW w:w="1143"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四</w:t>
            </w:r>
          </w:p>
        </w:tc>
        <w:tc>
          <w:tcPr>
            <w:tcW w:w="819"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26</w:t>
            </w:r>
          </w:p>
        </w:tc>
        <w:tc>
          <w:tcPr>
            <w:tcW w:w="819"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4</w:t>
            </w:r>
          </w:p>
        </w:tc>
        <w:tc>
          <w:tcPr>
            <w:tcW w:w="937"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11</w:t>
            </w:r>
          </w:p>
        </w:tc>
        <w:tc>
          <w:tcPr>
            <w:tcW w:w="715"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6</w:t>
            </w:r>
          </w:p>
        </w:tc>
        <w:tc>
          <w:tcPr>
            <w:tcW w:w="972"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5</w:t>
            </w:r>
          </w:p>
        </w:tc>
        <w:tc>
          <w:tcPr>
            <w:tcW w:w="1148"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52</w:t>
            </w:r>
          </w:p>
        </w:tc>
      </w:tr>
      <w:tr>
        <w:tblPrEx>
          <w:tblCellMar>
            <w:top w:w="0" w:type="dxa"/>
            <w:left w:w="108" w:type="dxa"/>
            <w:bottom w:w="0" w:type="dxa"/>
            <w:right w:w="108" w:type="dxa"/>
          </w:tblCellMar>
        </w:tblPrEx>
        <w:trPr>
          <w:jc w:val="center"/>
        </w:trPr>
        <w:tc>
          <w:tcPr>
            <w:tcW w:w="1143"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五</w:t>
            </w:r>
          </w:p>
        </w:tc>
        <w:tc>
          <w:tcPr>
            <w:tcW w:w="819"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w:t>
            </w:r>
          </w:p>
        </w:tc>
        <w:tc>
          <w:tcPr>
            <w:tcW w:w="819"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w:t>
            </w:r>
          </w:p>
        </w:tc>
        <w:tc>
          <w:tcPr>
            <w:tcW w:w="937"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37</w:t>
            </w:r>
          </w:p>
        </w:tc>
        <w:tc>
          <w:tcPr>
            <w:tcW w:w="715"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5</w:t>
            </w:r>
          </w:p>
        </w:tc>
        <w:tc>
          <w:tcPr>
            <w:tcW w:w="972"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0</w:t>
            </w:r>
          </w:p>
        </w:tc>
        <w:tc>
          <w:tcPr>
            <w:tcW w:w="1148" w:type="dxa"/>
            <w:tcBorders>
              <w:top w:val="nil"/>
              <w:left w:val="nil"/>
              <w:bottom w:val="nil"/>
              <w:right w:val="nil"/>
            </w:tcBorders>
            <w:vAlign w:val="center"/>
          </w:tcPr>
          <w:p>
            <w:pPr>
              <w:spacing w:line="360" w:lineRule="auto"/>
              <w:jc w:val="center"/>
              <w:rPr>
                <w:rFonts w:eastAsiaTheme="minorEastAsia"/>
                <w:sz w:val="24"/>
              </w:rPr>
            </w:pPr>
            <w:r>
              <w:rPr>
                <w:rFonts w:eastAsiaTheme="minorEastAsia"/>
                <w:sz w:val="24"/>
              </w:rPr>
              <w:t>42</w:t>
            </w:r>
          </w:p>
        </w:tc>
      </w:tr>
      <w:tr>
        <w:tblPrEx>
          <w:tblCellMar>
            <w:top w:w="0" w:type="dxa"/>
            <w:left w:w="108" w:type="dxa"/>
            <w:bottom w:w="0" w:type="dxa"/>
            <w:right w:w="108" w:type="dxa"/>
          </w:tblCellMar>
        </w:tblPrEx>
        <w:trPr>
          <w:jc w:val="center"/>
        </w:trPr>
        <w:tc>
          <w:tcPr>
            <w:tcW w:w="1143" w:type="dxa"/>
            <w:tcBorders>
              <w:top w:val="nil"/>
              <w:left w:val="nil"/>
              <w:bottom w:val="single" w:color="auto" w:sz="4" w:space="0"/>
              <w:right w:val="nil"/>
            </w:tcBorders>
            <w:vAlign w:val="center"/>
          </w:tcPr>
          <w:p>
            <w:pPr>
              <w:spacing w:line="360" w:lineRule="auto"/>
              <w:jc w:val="center"/>
              <w:rPr>
                <w:rFonts w:eastAsiaTheme="minorEastAsia"/>
                <w:sz w:val="24"/>
              </w:rPr>
            </w:pPr>
            <w:r>
              <w:rPr>
                <w:rFonts w:eastAsiaTheme="minorEastAsia"/>
                <w:sz w:val="24"/>
              </w:rPr>
              <w:t>合计</w:t>
            </w:r>
          </w:p>
        </w:tc>
        <w:tc>
          <w:tcPr>
            <w:tcW w:w="819" w:type="dxa"/>
            <w:tcBorders>
              <w:top w:val="nil"/>
              <w:left w:val="nil"/>
              <w:bottom w:val="single" w:color="auto" w:sz="4" w:space="0"/>
              <w:right w:val="nil"/>
            </w:tcBorders>
          </w:tcPr>
          <w:p>
            <w:pPr>
              <w:spacing w:line="360" w:lineRule="auto"/>
              <w:jc w:val="center"/>
              <w:rPr>
                <w:rFonts w:eastAsiaTheme="minorEastAsia"/>
                <w:sz w:val="24"/>
              </w:rPr>
            </w:pPr>
            <w:r>
              <w:rPr>
                <w:rFonts w:eastAsiaTheme="minorEastAsia"/>
                <w:sz w:val="24"/>
              </w:rPr>
              <w:t>121</w:t>
            </w:r>
          </w:p>
        </w:tc>
        <w:tc>
          <w:tcPr>
            <w:tcW w:w="819" w:type="dxa"/>
            <w:tcBorders>
              <w:top w:val="nil"/>
              <w:left w:val="nil"/>
              <w:bottom w:val="single" w:color="auto" w:sz="4" w:space="0"/>
              <w:right w:val="nil"/>
            </w:tcBorders>
          </w:tcPr>
          <w:p>
            <w:pPr>
              <w:spacing w:line="360" w:lineRule="auto"/>
              <w:jc w:val="center"/>
              <w:rPr>
                <w:rFonts w:eastAsiaTheme="minorEastAsia"/>
                <w:sz w:val="24"/>
              </w:rPr>
            </w:pPr>
            <w:r>
              <w:rPr>
                <w:rFonts w:eastAsiaTheme="minorEastAsia"/>
                <w:sz w:val="24"/>
              </w:rPr>
              <w:t>16</w:t>
            </w:r>
          </w:p>
        </w:tc>
        <w:tc>
          <w:tcPr>
            <w:tcW w:w="937" w:type="dxa"/>
            <w:tcBorders>
              <w:top w:val="nil"/>
              <w:left w:val="nil"/>
              <w:bottom w:val="single" w:color="auto" w:sz="4" w:space="0"/>
              <w:right w:val="nil"/>
            </w:tcBorders>
          </w:tcPr>
          <w:p>
            <w:pPr>
              <w:spacing w:line="360" w:lineRule="auto"/>
              <w:jc w:val="center"/>
              <w:rPr>
                <w:rFonts w:eastAsiaTheme="minorEastAsia"/>
                <w:sz w:val="24"/>
              </w:rPr>
            </w:pPr>
            <w:r>
              <w:rPr>
                <w:rFonts w:eastAsiaTheme="minorEastAsia"/>
                <w:sz w:val="24"/>
              </w:rPr>
              <w:t>48</w:t>
            </w:r>
          </w:p>
        </w:tc>
        <w:tc>
          <w:tcPr>
            <w:tcW w:w="715" w:type="dxa"/>
            <w:tcBorders>
              <w:top w:val="nil"/>
              <w:left w:val="nil"/>
              <w:bottom w:val="single" w:color="auto" w:sz="4" w:space="0"/>
              <w:right w:val="nil"/>
            </w:tcBorders>
          </w:tcPr>
          <w:p>
            <w:pPr>
              <w:spacing w:line="360" w:lineRule="auto"/>
              <w:jc w:val="center"/>
              <w:rPr>
                <w:rFonts w:eastAsiaTheme="minorEastAsia"/>
                <w:sz w:val="24"/>
              </w:rPr>
            </w:pPr>
            <w:r>
              <w:rPr>
                <w:rFonts w:eastAsiaTheme="minorEastAsia"/>
                <w:sz w:val="24"/>
              </w:rPr>
              <w:t>14</w:t>
            </w:r>
          </w:p>
        </w:tc>
        <w:tc>
          <w:tcPr>
            <w:tcW w:w="972" w:type="dxa"/>
            <w:tcBorders>
              <w:top w:val="nil"/>
              <w:left w:val="nil"/>
              <w:bottom w:val="single" w:color="auto" w:sz="4" w:space="0"/>
              <w:right w:val="nil"/>
            </w:tcBorders>
          </w:tcPr>
          <w:p>
            <w:pPr>
              <w:spacing w:line="360" w:lineRule="auto"/>
              <w:jc w:val="center"/>
              <w:rPr>
                <w:rFonts w:eastAsiaTheme="minorEastAsia"/>
                <w:sz w:val="24"/>
              </w:rPr>
            </w:pPr>
            <w:r>
              <w:rPr>
                <w:rFonts w:eastAsiaTheme="minorEastAsia"/>
                <w:sz w:val="24"/>
              </w:rPr>
              <w:t>47</w:t>
            </w:r>
          </w:p>
        </w:tc>
        <w:tc>
          <w:tcPr>
            <w:tcW w:w="1148" w:type="dxa"/>
            <w:tcBorders>
              <w:top w:val="nil"/>
              <w:left w:val="nil"/>
              <w:bottom w:val="single" w:color="auto" w:sz="4" w:space="0"/>
              <w:right w:val="nil"/>
            </w:tcBorders>
          </w:tcPr>
          <w:p>
            <w:pPr>
              <w:spacing w:line="360" w:lineRule="auto"/>
              <w:jc w:val="center"/>
              <w:rPr>
                <w:rFonts w:eastAsiaTheme="minorEastAsia"/>
                <w:sz w:val="24"/>
              </w:rPr>
            </w:pPr>
            <w:r>
              <w:rPr>
                <w:rFonts w:eastAsiaTheme="minorEastAsia"/>
                <w:sz w:val="24"/>
              </w:rPr>
              <w:t>250</w:t>
            </w:r>
          </w:p>
        </w:tc>
      </w:tr>
    </w:tbl>
    <w:p>
      <w:pPr>
        <w:pStyle w:val="14"/>
        <w:spacing w:before="0" w:beforeAutospacing="0" w:after="0" w:afterAutospacing="0" w:line="360" w:lineRule="auto"/>
        <w:ind w:firstLine="840" w:firstLineChars="400"/>
        <w:rPr>
          <w:rStyle w:val="18"/>
          <w:rFonts w:ascii="Times New Roman" w:hAnsi="Times New Roman"/>
          <w:b w:val="0"/>
          <w:sz w:val="21"/>
          <w:szCs w:val="21"/>
        </w:rPr>
      </w:pPr>
      <w:r>
        <w:rPr>
          <w:rStyle w:val="18"/>
          <w:rFonts w:ascii="Times New Roman" w:hAnsi="Times New Roman"/>
          <w:b w:val="0"/>
          <w:sz w:val="21"/>
          <w:szCs w:val="21"/>
        </w:rPr>
        <w:t>※</w:t>
      </w:r>
      <w:r>
        <w:rPr>
          <w:rFonts w:ascii="Times New Roman" w:hAnsi="Times New Roman" w:eastAsiaTheme="minorEastAsia"/>
          <w:sz w:val="21"/>
          <w:szCs w:val="21"/>
        </w:rPr>
        <w:t>社会实践2周，由校团委作统一部署，</w:t>
      </w:r>
      <w:r>
        <w:rPr>
          <w:rFonts w:ascii="Times New Roman" w:hAnsi="Times New Roman"/>
          <w:sz w:val="21"/>
          <w:szCs w:val="21"/>
        </w:rPr>
        <w:t>机动含军训、社会实践、毕业考试</w:t>
      </w:r>
      <w:r>
        <w:rPr>
          <w:rFonts w:hint="eastAsia" w:ascii="Times New Roman" w:hAnsi="Times New Roman"/>
          <w:sz w:val="21"/>
          <w:szCs w:val="21"/>
        </w:rPr>
        <w:t>、</w:t>
      </w:r>
      <w:r>
        <w:rPr>
          <w:rFonts w:ascii="Times New Roman" w:hAnsi="Times New Roman"/>
          <w:sz w:val="21"/>
          <w:szCs w:val="21"/>
        </w:rPr>
        <w:t>公益劳动等其他环节。</w:t>
      </w:r>
    </w:p>
    <w:p>
      <w:pPr>
        <w:pStyle w:val="14"/>
        <w:widowControl w:val="0"/>
        <w:spacing w:before="0" w:beforeAutospacing="0" w:after="0" w:afterAutospacing="0" w:line="360" w:lineRule="auto"/>
        <w:ind w:firstLine="482" w:firstLineChars="200"/>
        <w:jc w:val="both"/>
        <w:rPr>
          <w:rStyle w:val="18"/>
          <w:rFonts w:ascii="Times New Roman" w:hAnsi="Times New Roman" w:eastAsiaTheme="minorEastAsia"/>
        </w:rPr>
      </w:pPr>
      <w:r>
        <w:rPr>
          <w:rStyle w:val="18"/>
          <w:rFonts w:ascii="Times New Roman" w:hAnsi="Times New Roman" w:eastAsiaTheme="minorEastAsia"/>
        </w:rPr>
        <w:t>七、毕业与学位</w:t>
      </w:r>
    </w:p>
    <w:p>
      <w:pPr>
        <w:pStyle w:val="14"/>
        <w:widowControl w:val="0"/>
        <w:spacing w:before="0" w:beforeAutospacing="0" w:after="0" w:afterAutospacing="0" w:line="360" w:lineRule="auto"/>
        <w:ind w:firstLine="480" w:firstLineChars="200"/>
        <w:jc w:val="both"/>
        <w:rPr>
          <w:rFonts w:ascii="Times New Roman" w:hAnsi="Times New Roman" w:eastAsiaTheme="minorEastAsia"/>
          <w:bCs/>
        </w:rPr>
      </w:pPr>
      <w:r>
        <w:rPr>
          <w:rFonts w:ascii="Times New Roman" w:hAnsi="Times New Roman" w:eastAsiaTheme="minorEastAsia"/>
          <w:bCs/>
        </w:rPr>
        <w:t>在学校规定修业年限内修完全部必</w:t>
      </w:r>
      <w:r>
        <w:rPr>
          <w:rFonts w:ascii="Times New Roman" w:hAnsi="Times New Roman" w:eastAsiaTheme="minorEastAsia"/>
        </w:rPr>
        <w:t>修课程，成绩合格，限选课程修</w:t>
      </w:r>
      <w:r>
        <w:rPr>
          <w:rFonts w:ascii="Times New Roman" w:hAnsi="Times New Roman" w:eastAsiaTheme="minorEastAsia"/>
        </w:rPr>
        <w:t>满</w:t>
      </w:r>
      <w:r>
        <w:rPr>
          <w:rFonts w:hint="eastAsia" w:ascii="Times New Roman" w:hAnsi="Times New Roman" w:eastAsiaTheme="minorEastAsia"/>
          <w:color w:val="FF0000"/>
          <w:lang w:val="en-US" w:eastAsia="zh-CN"/>
        </w:rPr>
        <w:t>16.0</w:t>
      </w:r>
      <w:r>
        <w:rPr>
          <w:rFonts w:ascii="Times New Roman" w:hAnsi="Times New Roman" w:eastAsiaTheme="minorEastAsia"/>
        </w:rPr>
        <w:t>学分，公共任选课修满20学分，完成综合技能培训、</w:t>
      </w:r>
      <w:r>
        <w:rPr>
          <w:rFonts w:hint="eastAsia" w:ascii="Times New Roman" w:hAnsi="Times New Roman" w:eastAsiaTheme="minorEastAsia"/>
          <w:lang w:val="en-US" w:eastAsia="zh-CN"/>
        </w:rPr>
        <w:t>专业</w:t>
      </w:r>
      <w:r>
        <w:rPr>
          <w:rFonts w:ascii="Times New Roman" w:hAnsi="Times New Roman" w:eastAsiaTheme="minorEastAsia"/>
        </w:rPr>
        <w:t>见习、社会实践、创新创业素质拓展并获相应学分，通过</w:t>
      </w:r>
      <w:r>
        <w:rPr>
          <w:rFonts w:hint="eastAsia" w:ascii="Times New Roman" w:hAnsi="Times New Roman" w:eastAsiaTheme="minorEastAsia"/>
          <w:lang w:val="en-US" w:eastAsia="zh-CN"/>
        </w:rPr>
        <w:t>毕业实习和综合考试（包括</w:t>
      </w:r>
      <w:r>
        <w:rPr>
          <w:rFonts w:ascii="Times New Roman" w:hAnsi="Times New Roman" w:eastAsiaTheme="minorEastAsia"/>
        </w:rPr>
        <w:t>基础综合考试、专业综合考试</w:t>
      </w:r>
      <w:r>
        <w:rPr>
          <w:rFonts w:hint="eastAsia" w:ascii="Times New Roman" w:hAnsi="Times New Roman" w:eastAsiaTheme="minorEastAsia"/>
          <w:lang w:val="en-US" w:eastAsia="zh-CN"/>
        </w:rPr>
        <w:t>和</w:t>
      </w:r>
      <w:r>
        <w:rPr>
          <w:rFonts w:ascii="Times New Roman" w:hAnsi="Times New Roman" w:eastAsiaTheme="minorEastAsia"/>
        </w:rPr>
        <w:t>毕业综合考试</w:t>
      </w:r>
      <w:r>
        <w:rPr>
          <w:rFonts w:hint="eastAsia" w:ascii="Times New Roman" w:hAnsi="Times New Roman" w:eastAsiaTheme="minorEastAsia"/>
          <w:lang w:eastAsia="zh-CN"/>
        </w:rPr>
        <w:t>）</w:t>
      </w:r>
      <w:r>
        <w:rPr>
          <w:rFonts w:ascii="Times New Roman" w:hAnsi="Times New Roman" w:eastAsiaTheme="minorEastAsia"/>
        </w:rPr>
        <w:t>，总学分达</w:t>
      </w:r>
      <w:r>
        <w:rPr>
          <w:rFonts w:ascii="Times New Roman" w:hAnsi="Times New Roman"/>
          <w:color w:val="FF0000"/>
        </w:rPr>
        <w:t>2</w:t>
      </w:r>
      <w:r>
        <w:rPr>
          <w:rFonts w:hint="eastAsia" w:ascii="Times New Roman" w:hAnsi="Times New Roman"/>
          <w:color w:val="FF0000"/>
          <w:lang w:val="en-US" w:eastAsia="zh-CN"/>
        </w:rPr>
        <w:t>12</w:t>
      </w:r>
      <w:r>
        <w:rPr>
          <w:rFonts w:ascii="Times New Roman" w:hAnsi="Times New Roman" w:eastAsiaTheme="minorEastAsia"/>
        </w:rPr>
        <w:t>学分及以上，符合《广西医科大学学生学籍管理规定》中的毕业条件的准予毕业，符合《广西医科大学授予学士学位工作细则》学士学位条件的授予理学学士学位。</w:t>
      </w:r>
    </w:p>
    <w:p>
      <w:pPr>
        <w:pStyle w:val="14"/>
        <w:widowControl w:val="0"/>
        <w:spacing w:before="0" w:beforeAutospacing="0" w:after="0" w:afterAutospacing="0" w:line="360" w:lineRule="auto"/>
        <w:ind w:firstLine="482" w:firstLineChars="200"/>
        <w:jc w:val="both"/>
        <w:rPr>
          <w:rFonts w:ascii="Times New Roman" w:hAnsi="Times New Roman" w:eastAsiaTheme="minorEastAsia"/>
          <w:b/>
          <w:bCs/>
        </w:rPr>
      </w:pPr>
      <w:r>
        <w:rPr>
          <w:rFonts w:ascii="Times New Roman" w:hAnsi="Times New Roman" w:eastAsiaTheme="minorEastAsia"/>
          <w:b/>
        </w:rPr>
        <w:t>八、毕业去向</w:t>
      </w:r>
    </w:p>
    <w:p>
      <w:pPr>
        <w:spacing w:line="360" w:lineRule="auto"/>
        <w:ind w:firstLine="480" w:firstLineChars="200"/>
        <w:rPr>
          <w:rFonts w:eastAsiaTheme="minorEastAsia"/>
          <w:kern w:val="0"/>
          <w:sz w:val="24"/>
        </w:rPr>
      </w:pPr>
      <w:r>
        <w:rPr>
          <w:rFonts w:eastAsiaTheme="minorEastAsia"/>
          <w:kern w:val="0"/>
          <w:sz w:val="24"/>
        </w:rPr>
        <w:t>本专业毕业生能够从事以合理用药为核心的药学服务、临床药学研究、药政药事管理等相关工作。</w:t>
      </w:r>
    </w:p>
    <w:p>
      <w:pPr>
        <w:pStyle w:val="14"/>
        <w:spacing w:before="0" w:beforeAutospacing="0" w:after="0" w:afterAutospacing="0" w:line="360" w:lineRule="auto"/>
        <w:ind w:firstLine="482" w:firstLineChars="200"/>
        <w:jc w:val="both"/>
        <w:rPr>
          <w:rFonts w:ascii="Times New Roman" w:hAnsi="Times New Roman" w:eastAsiaTheme="minorEastAsia"/>
          <w:b/>
        </w:rPr>
      </w:pPr>
      <w:r>
        <w:rPr>
          <w:rFonts w:ascii="Times New Roman" w:hAnsi="Times New Roman" w:eastAsiaTheme="minorEastAsia"/>
          <w:b/>
        </w:rPr>
        <w:t>九、教学进程</w:t>
      </w:r>
    </w:p>
    <w:sectPr>
      <w:footerReference r:id="rId3" w:type="default"/>
      <w:footerReference r:id="rId4" w:type="even"/>
      <w:pgSz w:w="11906" w:h="16838"/>
      <w:pgMar w:top="1134" w:right="1247" w:bottom="1418" w:left="1247"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8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Unicode MS">
    <w:altName w:val="Malgun Gothic Semilight"/>
    <w:panose1 w:val="020B0604020202020204"/>
    <w:charset w:val="86"/>
    <w:family w:val="swiss"/>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19"/>
      </w:rPr>
    </w:pPr>
  </w:p>
  <w:p>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19"/>
      </w:rPr>
    </w:pPr>
    <w:r>
      <w:fldChar w:fldCharType="begin"/>
    </w:r>
    <w:r>
      <w:rPr>
        <w:rStyle w:val="19"/>
      </w:rPr>
      <w:instrText xml:space="preserve">PAGE  </w:instrText>
    </w:r>
    <w:r>
      <w:fldChar w:fldCharType="end"/>
    </w:r>
  </w:p>
  <w:p>
    <w:pPr>
      <w:pStyle w:val="10"/>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VmY2UxNWNiZjMyODM1YzIwZWIwZGFmYjIzYWJjMzQifQ=="/>
  </w:docVars>
  <w:rsids>
    <w:rsidRoot w:val="00172A27"/>
    <w:rsid w:val="000101D5"/>
    <w:rsid w:val="00014336"/>
    <w:rsid w:val="00020C91"/>
    <w:rsid w:val="000273E0"/>
    <w:rsid w:val="00032213"/>
    <w:rsid w:val="000435C9"/>
    <w:rsid w:val="00055995"/>
    <w:rsid w:val="000617D7"/>
    <w:rsid w:val="000646A3"/>
    <w:rsid w:val="00065528"/>
    <w:rsid w:val="00091A3E"/>
    <w:rsid w:val="00095142"/>
    <w:rsid w:val="000A1E6A"/>
    <w:rsid w:val="000A7326"/>
    <w:rsid w:val="000B7CC4"/>
    <w:rsid w:val="000C124E"/>
    <w:rsid w:val="000C71A2"/>
    <w:rsid w:val="000D029D"/>
    <w:rsid w:val="000D0E24"/>
    <w:rsid w:val="000D5BDB"/>
    <w:rsid w:val="000D7D1D"/>
    <w:rsid w:val="000F5462"/>
    <w:rsid w:val="000F654B"/>
    <w:rsid w:val="00103AA6"/>
    <w:rsid w:val="001075E9"/>
    <w:rsid w:val="00110A92"/>
    <w:rsid w:val="001120E2"/>
    <w:rsid w:val="001139A5"/>
    <w:rsid w:val="00127CF1"/>
    <w:rsid w:val="00142E1E"/>
    <w:rsid w:val="00172A27"/>
    <w:rsid w:val="00172D48"/>
    <w:rsid w:val="00173820"/>
    <w:rsid w:val="001966CB"/>
    <w:rsid w:val="001C756B"/>
    <w:rsid w:val="001E0BDD"/>
    <w:rsid w:val="001E1F76"/>
    <w:rsid w:val="001E5DD3"/>
    <w:rsid w:val="001F20D0"/>
    <w:rsid w:val="001F5A0D"/>
    <w:rsid w:val="00201C42"/>
    <w:rsid w:val="002111CF"/>
    <w:rsid w:val="002122CA"/>
    <w:rsid w:val="0022539C"/>
    <w:rsid w:val="002378E3"/>
    <w:rsid w:val="00237977"/>
    <w:rsid w:val="002465DB"/>
    <w:rsid w:val="00247CC3"/>
    <w:rsid w:val="00254C6F"/>
    <w:rsid w:val="00267EF2"/>
    <w:rsid w:val="00276B0B"/>
    <w:rsid w:val="002A008A"/>
    <w:rsid w:val="002B6DE6"/>
    <w:rsid w:val="002D23D3"/>
    <w:rsid w:val="002E7503"/>
    <w:rsid w:val="002F5962"/>
    <w:rsid w:val="00302E18"/>
    <w:rsid w:val="00310D61"/>
    <w:rsid w:val="00312103"/>
    <w:rsid w:val="003134B3"/>
    <w:rsid w:val="00322DAC"/>
    <w:rsid w:val="00330A51"/>
    <w:rsid w:val="00333E27"/>
    <w:rsid w:val="0033799B"/>
    <w:rsid w:val="003459FF"/>
    <w:rsid w:val="003533B8"/>
    <w:rsid w:val="00357066"/>
    <w:rsid w:val="00362A9B"/>
    <w:rsid w:val="003657E0"/>
    <w:rsid w:val="00375AE2"/>
    <w:rsid w:val="00381FEB"/>
    <w:rsid w:val="00396E07"/>
    <w:rsid w:val="00396F10"/>
    <w:rsid w:val="003A1EB3"/>
    <w:rsid w:val="003A4429"/>
    <w:rsid w:val="003A4E46"/>
    <w:rsid w:val="003C7BD9"/>
    <w:rsid w:val="003D6C31"/>
    <w:rsid w:val="003E49E8"/>
    <w:rsid w:val="0044343F"/>
    <w:rsid w:val="00454FE7"/>
    <w:rsid w:val="0049062F"/>
    <w:rsid w:val="00490CF9"/>
    <w:rsid w:val="00491B7B"/>
    <w:rsid w:val="004A55D1"/>
    <w:rsid w:val="004A7739"/>
    <w:rsid w:val="004B1DB7"/>
    <w:rsid w:val="004B36C7"/>
    <w:rsid w:val="004B4F59"/>
    <w:rsid w:val="004C6AD3"/>
    <w:rsid w:val="004F2105"/>
    <w:rsid w:val="00503E40"/>
    <w:rsid w:val="005138EA"/>
    <w:rsid w:val="00516CBD"/>
    <w:rsid w:val="00523912"/>
    <w:rsid w:val="00523F4B"/>
    <w:rsid w:val="00530295"/>
    <w:rsid w:val="00536BEC"/>
    <w:rsid w:val="00537929"/>
    <w:rsid w:val="005659AB"/>
    <w:rsid w:val="00574208"/>
    <w:rsid w:val="005855F6"/>
    <w:rsid w:val="0059689B"/>
    <w:rsid w:val="005A31D9"/>
    <w:rsid w:val="005C5697"/>
    <w:rsid w:val="005C5938"/>
    <w:rsid w:val="005D1EF4"/>
    <w:rsid w:val="005E40B8"/>
    <w:rsid w:val="005E7785"/>
    <w:rsid w:val="005F58C4"/>
    <w:rsid w:val="00617B6D"/>
    <w:rsid w:val="006209F1"/>
    <w:rsid w:val="0062532C"/>
    <w:rsid w:val="00642025"/>
    <w:rsid w:val="00653633"/>
    <w:rsid w:val="00672B12"/>
    <w:rsid w:val="00686BCF"/>
    <w:rsid w:val="00692E5F"/>
    <w:rsid w:val="0069663F"/>
    <w:rsid w:val="006A3E50"/>
    <w:rsid w:val="006A7E3E"/>
    <w:rsid w:val="006B6DFB"/>
    <w:rsid w:val="006C32BD"/>
    <w:rsid w:val="006D1A21"/>
    <w:rsid w:val="006E5ADD"/>
    <w:rsid w:val="006F240A"/>
    <w:rsid w:val="006F5FD8"/>
    <w:rsid w:val="007030DB"/>
    <w:rsid w:val="00715371"/>
    <w:rsid w:val="00723790"/>
    <w:rsid w:val="0072682A"/>
    <w:rsid w:val="00763476"/>
    <w:rsid w:val="00795D7E"/>
    <w:rsid w:val="007D071C"/>
    <w:rsid w:val="007D7000"/>
    <w:rsid w:val="007E7312"/>
    <w:rsid w:val="007F0576"/>
    <w:rsid w:val="007F4C35"/>
    <w:rsid w:val="007F518D"/>
    <w:rsid w:val="0081046A"/>
    <w:rsid w:val="00811E3A"/>
    <w:rsid w:val="00830610"/>
    <w:rsid w:val="00864DF3"/>
    <w:rsid w:val="00867584"/>
    <w:rsid w:val="008B4425"/>
    <w:rsid w:val="008D5FAB"/>
    <w:rsid w:val="008E0CF4"/>
    <w:rsid w:val="00902970"/>
    <w:rsid w:val="00925435"/>
    <w:rsid w:val="00930548"/>
    <w:rsid w:val="00932298"/>
    <w:rsid w:val="0095263A"/>
    <w:rsid w:val="00953C59"/>
    <w:rsid w:val="00962591"/>
    <w:rsid w:val="00963659"/>
    <w:rsid w:val="009662FB"/>
    <w:rsid w:val="009731C9"/>
    <w:rsid w:val="009838A0"/>
    <w:rsid w:val="00992A52"/>
    <w:rsid w:val="009946C9"/>
    <w:rsid w:val="00997322"/>
    <w:rsid w:val="009D0FA9"/>
    <w:rsid w:val="009D561B"/>
    <w:rsid w:val="009E063A"/>
    <w:rsid w:val="009E0BD2"/>
    <w:rsid w:val="009E385F"/>
    <w:rsid w:val="009E52E2"/>
    <w:rsid w:val="009E6216"/>
    <w:rsid w:val="009F1374"/>
    <w:rsid w:val="009F3838"/>
    <w:rsid w:val="00A00934"/>
    <w:rsid w:val="00A01A94"/>
    <w:rsid w:val="00A0238D"/>
    <w:rsid w:val="00A10362"/>
    <w:rsid w:val="00A21518"/>
    <w:rsid w:val="00A21C12"/>
    <w:rsid w:val="00A27792"/>
    <w:rsid w:val="00A47D23"/>
    <w:rsid w:val="00A61E48"/>
    <w:rsid w:val="00A81D0B"/>
    <w:rsid w:val="00A83462"/>
    <w:rsid w:val="00A87A14"/>
    <w:rsid w:val="00A90E68"/>
    <w:rsid w:val="00AA6346"/>
    <w:rsid w:val="00AB27C8"/>
    <w:rsid w:val="00AC66DF"/>
    <w:rsid w:val="00AD4999"/>
    <w:rsid w:val="00AD57CF"/>
    <w:rsid w:val="00AE0999"/>
    <w:rsid w:val="00AE16BB"/>
    <w:rsid w:val="00AF6AD3"/>
    <w:rsid w:val="00B067BB"/>
    <w:rsid w:val="00B1601C"/>
    <w:rsid w:val="00B31C57"/>
    <w:rsid w:val="00B3337A"/>
    <w:rsid w:val="00B44C90"/>
    <w:rsid w:val="00B53ACE"/>
    <w:rsid w:val="00B54B93"/>
    <w:rsid w:val="00B64F77"/>
    <w:rsid w:val="00B81AC8"/>
    <w:rsid w:val="00B8562E"/>
    <w:rsid w:val="00B92AC9"/>
    <w:rsid w:val="00B93883"/>
    <w:rsid w:val="00B96ECF"/>
    <w:rsid w:val="00BB0BD7"/>
    <w:rsid w:val="00BB0C1A"/>
    <w:rsid w:val="00BC3794"/>
    <w:rsid w:val="00BC5F90"/>
    <w:rsid w:val="00BF56B2"/>
    <w:rsid w:val="00C12DD1"/>
    <w:rsid w:val="00C16999"/>
    <w:rsid w:val="00C24E07"/>
    <w:rsid w:val="00C4699D"/>
    <w:rsid w:val="00C46AD9"/>
    <w:rsid w:val="00C54710"/>
    <w:rsid w:val="00CA530C"/>
    <w:rsid w:val="00CB3787"/>
    <w:rsid w:val="00CE343F"/>
    <w:rsid w:val="00D027EE"/>
    <w:rsid w:val="00D143BF"/>
    <w:rsid w:val="00D161F0"/>
    <w:rsid w:val="00D27755"/>
    <w:rsid w:val="00D27F7B"/>
    <w:rsid w:val="00D54F80"/>
    <w:rsid w:val="00D54FC6"/>
    <w:rsid w:val="00D636EC"/>
    <w:rsid w:val="00D705B7"/>
    <w:rsid w:val="00D8456E"/>
    <w:rsid w:val="00D86890"/>
    <w:rsid w:val="00D91341"/>
    <w:rsid w:val="00D95C39"/>
    <w:rsid w:val="00DA4FA3"/>
    <w:rsid w:val="00DB4D61"/>
    <w:rsid w:val="00DB77A3"/>
    <w:rsid w:val="00DD4A16"/>
    <w:rsid w:val="00DD4E51"/>
    <w:rsid w:val="00DD518C"/>
    <w:rsid w:val="00DF4B35"/>
    <w:rsid w:val="00DF5345"/>
    <w:rsid w:val="00E12579"/>
    <w:rsid w:val="00E13C69"/>
    <w:rsid w:val="00E2797E"/>
    <w:rsid w:val="00E4690B"/>
    <w:rsid w:val="00E90FD1"/>
    <w:rsid w:val="00E94009"/>
    <w:rsid w:val="00EA1077"/>
    <w:rsid w:val="00EA7488"/>
    <w:rsid w:val="00EB1536"/>
    <w:rsid w:val="00EB4F6F"/>
    <w:rsid w:val="00EB7AE5"/>
    <w:rsid w:val="00EC0FC9"/>
    <w:rsid w:val="00EC7F2B"/>
    <w:rsid w:val="00EE2899"/>
    <w:rsid w:val="00EF08EC"/>
    <w:rsid w:val="00EF1C87"/>
    <w:rsid w:val="00EF71B7"/>
    <w:rsid w:val="00F21028"/>
    <w:rsid w:val="00F2482C"/>
    <w:rsid w:val="00F26073"/>
    <w:rsid w:val="00F30ECE"/>
    <w:rsid w:val="00F31A2F"/>
    <w:rsid w:val="00F321E2"/>
    <w:rsid w:val="00F32DC1"/>
    <w:rsid w:val="00F35649"/>
    <w:rsid w:val="00F422DF"/>
    <w:rsid w:val="00F509FF"/>
    <w:rsid w:val="00F524EF"/>
    <w:rsid w:val="00F533F4"/>
    <w:rsid w:val="00F60648"/>
    <w:rsid w:val="00F656D9"/>
    <w:rsid w:val="00F72D4D"/>
    <w:rsid w:val="00F81EAD"/>
    <w:rsid w:val="00F90592"/>
    <w:rsid w:val="00F9222A"/>
    <w:rsid w:val="00F94A19"/>
    <w:rsid w:val="00FB7265"/>
    <w:rsid w:val="00FD60E3"/>
    <w:rsid w:val="00FF00D6"/>
    <w:rsid w:val="00FF4330"/>
    <w:rsid w:val="00FF509F"/>
    <w:rsid w:val="0352626C"/>
    <w:rsid w:val="05491A31"/>
    <w:rsid w:val="07612E7C"/>
    <w:rsid w:val="0A3836CD"/>
    <w:rsid w:val="0B157FF7"/>
    <w:rsid w:val="0B6E0190"/>
    <w:rsid w:val="0BCE5C2D"/>
    <w:rsid w:val="0CEA4717"/>
    <w:rsid w:val="110220BC"/>
    <w:rsid w:val="1260287A"/>
    <w:rsid w:val="13FB37A8"/>
    <w:rsid w:val="13FD3CA7"/>
    <w:rsid w:val="14192B06"/>
    <w:rsid w:val="15983CD8"/>
    <w:rsid w:val="174B2BE1"/>
    <w:rsid w:val="17761177"/>
    <w:rsid w:val="18861AB8"/>
    <w:rsid w:val="19A451A4"/>
    <w:rsid w:val="19DF7D30"/>
    <w:rsid w:val="1C6A72ED"/>
    <w:rsid w:val="1C740791"/>
    <w:rsid w:val="1E6409C8"/>
    <w:rsid w:val="20FE4CEE"/>
    <w:rsid w:val="262357E3"/>
    <w:rsid w:val="282F23CF"/>
    <w:rsid w:val="292343E7"/>
    <w:rsid w:val="29ED1184"/>
    <w:rsid w:val="2C8B4122"/>
    <w:rsid w:val="2CB11CB4"/>
    <w:rsid w:val="2FC47D17"/>
    <w:rsid w:val="3AD54E77"/>
    <w:rsid w:val="41391F47"/>
    <w:rsid w:val="43E64E6D"/>
    <w:rsid w:val="44C26370"/>
    <w:rsid w:val="466429D3"/>
    <w:rsid w:val="46FF24C8"/>
    <w:rsid w:val="486909B3"/>
    <w:rsid w:val="49476247"/>
    <w:rsid w:val="4D801C9D"/>
    <w:rsid w:val="4DEF5F3F"/>
    <w:rsid w:val="50F25EDA"/>
    <w:rsid w:val="51ED48F1"/>
    <w:rsid w:val="59B71664"/>
    <w:rsid w:val="59EE2F03"/>
    <w:rsid w:val="5A695760"/>
    <w:rsid w:val="5A9E1D74"/>
    <w:rsid w:val="5DEF1693"/>
    <w:rsid w:val="610D4147"/>
    <w:rsid w:val="62757A73"/>
    <w:rsid w:val="62B45D55"/>
    <w:rsid w:val="6712451C"/>
    <w:rsid w:val="67221FBF"/>
    <w:rsid w:val="68801D61"/>
    <w:rsid w:val="698D6B1B"/>
    <w:rsid w:val="6ACD1060"/>
    <w:rsid w:val="6E8420B7"/>
    <w:rsid w:val="6FFBB54D"/>
    <w:rsid w:val="700724E8"/>
    <w:rsid w:val="71977623"/>
    <w:rsid w:val="73966C01"/>
    <w:rsid w:val="74F22545"/>
    <w:rsid w:val="75033BC7"/>
    <w:rsid w:val="763C391F"/>
    <w:rsid w:val="79E25E1F"/>
    <w:rsid w:val="7B1E40AC"/>
    <w:rsid w:val="BF7FA3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b/>
      <w:bCs/>
      <w:kern w:val="36"/>
      <w:sz w:val="48"/>
      <w:szCs w:val="48"/>
    </w:rPr>
  </w:style>
  <w:style w:type="paragraph" w:styleId="3">
    <w:name w:val="heading 2"/>
    <w:basedOn w:val="1"/>
    <w:next w:val="1"/>
    <w:qFormat/>
    <w:uiPriority w:val="0"/>
    <w:pPr>
      <w:keepNext/>
      <w:keepLines/>
      <w:spacing w:before="100" w:beforeAutospacing="1" w:line="408" w:lineRule="auto"/>
      <w:outlineLvl w:val="1"/>
    </w:pPr>
    <w:rPr>
      <w:rFonts w:ascii="Arial" w:hAnsi="Arial" w:eastAsia="黑体"/>
      <w:b/>
      <w:bCs/>
      <w:sz w:val="32"/>
      <w:szCs w:val="3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63"/>
    <w:unhideWhenUsed/>
    <w:qFormat/>
    <w:uiPriority w:val="99"/>
    <w:pPr>
      <w:jc w:val="left"/>
    </w:pPr>
  </w:style>
  <w:style w:type="paragraph" w:styleId="5">
    <w:name w:val="Body Text"/>
    <w:basedOn w:val="1"/>
    <w:qFormat/>
    <w:uiPriority w:val="0"/>
    <w:pPr>
      <w:spacing w:after="120"/>
    </w:pPr>
  </w:style>
  <w:style w:type="paragraph" w:styleId="6">
    <w:name w:val="Body Text Indent"/>
    <w:basedOn w:val="1"/>
    <w:qFormat/>
    <w:uiPriority w:val="0"/>
    <w:pPr>
      <w:spacing w:line="400" w:lineRule="exact"/>
      <w:ind w:left="2110" w:leftChars="333" w:hanging="1411" w:hangingChars="588"/>
    </w:pPr>
    <w:rPr>
      <w:rFonts w:ascii="宋体" w:hAnsi="宋体"/>
      <w:color w:val="000000"/>
      <w:kern w:val="0"/>
      <w:sz w:val="24"/>
    </w:rPr>
  </w:style>
  <w:style w:type="paragraph" w:styleId="7">
    <w:name w:val="Date"/>
    <w:basedOn w:val="1"/>
    <w:next w:val="1"/>
    <w:qFormat/>
    <w:uiPriority w:val="0"/>
    <w:pPr>
      <w:ind w:left="100" w:leftChars="2500"/>
    </w:pPr>
  </w:style>
  <w:style w:type="paragraph" w:styleId="8">
    <w:name w:val="Body Text Indent 2"/>
    <w:basedOn w:val="1"/>
    <w:qFormat/>
    <w:uiPriority w:val="0"/>
    <w:pPr>
      <w:spacing w:after="120" w:line="480" w:lineRule="auto"/>
      <w:ind w:left="420" w:leftChars="200"/>
    </w:p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0"/>
  </w:style>
  <w:style w:type="paragraph" w:styleId="13">
    <w:name w:val="toc 2"/>
    <w:basedOn w:val="1"/>
    <w:next w:val="1"/>
    <w:qFormat/>
    <w:uiPriority w:val="0"/>
    <w:pPr>
      <w:spacing w:line="700" w:lineRule="exact"/>
      <w:jc w:val="distribute"/>
    </w:pPr>
    <w:rPr>
      <w:color w:val="000000"/>
      <w:sz w:val="28"/>
      <w:szCs w:val="28"/>
    </w:rPr>
  </w:style>
  <w:style w:type="paragraph" w:styleId="14">
    <w:name w:val="Normal (Web)"/>
    <w:basedOn w:val="1"/>
    <w:qFormat/>
    <w:uiPriority w:val="99"/>
    <w:pPr>
      <w:widowControl/>
      <w:spacing w:before="100" w:beforeAutospacing="1" w:after="100" w:afterAutospacing="1"/>
      <w:jc w:val="left"/>
    </w:pPr>
    <w:rPr>
      <w:rFonts w:ascii="宋体" w:hAnsi="宋体"/>
      <w:kern w:val="0"/>
      <w:sz w:val="24"/>
    </w:rPr>
  </w:style>
  <w:style w:type="paragraph" w:styleId="15">
    <w:name w:val="annotation subject"/>
    <w:basedOn w:val="4"/>
    <w:next w:val="4"/>
    <w:link w:val="64"/>
    <w:unhideWhenUsed/>
    <w:qFormat/>
    <w:uiPriority w:val="99"/>
    <w:rPr>
      <w:b/>
      <w:bCs/>
    </w:rPr>
  </w:style>
  <w:style w:type="character" w:styleId="18">
    <w:name w:val="Strong"/>
    <w:qFormat/>
    <w:uiPriority w:val="99"/>
    <w:rPr>
      <w:b/>
      <w:bCs/>
    </w:rPr>
  </w:style>
  <w:style w:type="character" w:styleId="19">
    <w:name w:val="page number"/>
    <w:basedOn w:val="17"/>
    <w:qFormat/>
    <w:uiPriority w:val="0"/>
  </w:style>
  <w:style w:type="character" w:styleId="20">
    <w:name w:val="Hyperlink"/>
    <w:qFormat/>
    <w:uiPriority w:val="0"/>
    <w:rPr>
      <w:color w:val="0000FF"/>
      <w:u w:val="single"/>
    </w:rPr>
  </w:style>
  <w:style w:type="character" w:styleId="21">
    <w:name w:val="annotation reference"/>
    <w:basedOn w:val="17"/>
    <w:unhideWhenUsed/>
    <w:qFormat/>
    <w:uiPriority w:val="99"/>
    <w:rPr>
      <w:sz w:val="21"/>
      <w:szCs w:val="21"/>
    </w:rPr>
  </w:style>
  <w:style w:type="character" w:customStyle="1" w:styleId="22">
    <w:name w:val="访问过的超链接1"/>
    <w:qFormat/>
    <w:uiPriority w:val="0"/>
    <w:rPr>
      <w:color w:val="800080"/>
      <w:u w:val="single"/>
    </w:rPr>
  </w:style>
  <w:style w:type="character" w:customStyle="1" w:styleId="23">
    <w:name w:val="页眉 字符"/>
    <w:link w:val="11"/>
    <w:qFormat/>
    <w:uiPriority w:val="0"/>
    <w:rPr>
      <w:rFonts w:eastAsia="宋体"/>
      <w:kern w:val="2"/>
      <w:sz w:val="18"/>
      <w:szCs w:val="18"/>
      <w:lang w:val="en-US" w:eastAsia="zh-CN" w:bidi="ar-SA"/>
    </w:rPr>
  </w:style>
  <w:style w:type="paragraph" w:customStyle="1" w:styleId="24">
    <w:name w:val="Char Char Char"/>
    <w:basedOn w:val="1"/>
    <w:qFormat/>
    <w:uiPriority w:val="0"/>
    <w:rPr>
      <w:rFonts w:ascii="Tahoma" w:hAnsi="Tahoma"/>
      <w:sz w:val="24"/>
      <w:szCs w:val="20"/>
    </w:rPr>
  </w:style>
  <w:style w:type="paragraph" w:customStyle="1" w:styleId="25">
    <w:name w:val="xl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26">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27">
    <w:name w:val="font5"/>
    <w:basedOn w:val="1"/>
    <w:qFormat/>
    <w:uiPriority w:val="0"/>
    <w:pPr>
      <w:widowControl/>
      <w:spacing w:before="100" w:beforeAutospacing="1" w:after="100" w:afterAutospacing="1"/>
      <w:jc w:val="left"/>
    </w:pPr>
    <w:rPr>
      <w:rFonts w:hint="eastAsia" w:ascii="宋体" w:hAnsi="宋体" w:cs="Arial Unicode MS"/>
      <w:kern w:val="0"/>
      <w:sz w:val="18"/>
      <w:szCs w:val="18"/>
    </w:rPr>
  </w:style>
  <w:style w:type="paragraph" w:customStyle="1" w:styleId="28">
    <w:name w:val="xl4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29">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30">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31">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32">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33">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34">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Arial Unicode MS" w:hAnsi="Arial Unicode MS" w:eastAsia="Arial Unicode MS" w:cs="Arial Unicode MS"/>
      <w:b/>
      <w:bCs/>
      <w:color w:val="000000"/>
      <w:kern w:val="0"/>
      <w:sz w:val="18"/>
      <w:szCs w:val="18"/>
    </w:rPr>
  </w:style>
  <w:style w:type="paragraph" w:customStyle="1" w:styleId="35">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b/>
      <w:bCs/>
      <w:color w:val="000000"/>
      <w:kern w:val="0"/>
      <w:sz w:val="18"/>
      <w:szCs w:val="18"/>
    </w:rPr>
  </w:style>
  <w:style w:type="paragraph" w:customStyle="1" w:styleId="36">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b/>
      <w:bCs/>
      <w:color w:val="000000"/>
      <w:kern w:val="0"/>
      <w:sz w:val="18"/>
      <w:szCs w:val="18"/>
    </w:rPr>
  </w:style>
  <w:style w:type="paragraph" w:customStyle="1" w:styleId="37">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38">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b/>
      <w:bCs/>
      <w:color w:val="000000"/>
      <w:kern w:val="0"/>
      <w:sz w:val="18"/>
      <w:szCs w:val="18"/>
    </w:rPr>
  </w:style>
  <w:style w:type="paragraph" w:customStyle="1" w:styleId="39">
    <w:name w:val="xl3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40">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41">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42">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43">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44">
    <w:name w:val="xl39"/>
    <w:basedOn w:val="1"/>
    <w:qFormat/>
    <w:uiPriority w:val="0"/>
    <w:pPr>
      <w:widowControl/>
      <w:spacing w:before="100" w:beforeAutospacing="1" w:after="100" w:afterAutospacing="1"/>
      <w:jc w:val="center"/>
    </w:pPr>
    <w:rPr>
      <w:rFonts w:ascii="Arial Unicode MS" w:hAnsi="Arial Unicode MS" w:eastAsia="Arial Unicode MS" w:cs="Arial Unicode MS"/>
      <w:kern w:val="0"/>
      <w:sz w:val="24"/>
    </w:rPr>
  </w:style>
  <w:style w:type="paragraph" w:customStyle="1" w:styleId="45">
    <w:name w:val="xl41"/>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Arial Unicode MS" w:hAnsi="Arial Unicode MS" w:eastAsia="Arial Unicode MS" w:cs="Arial Unicode MS"/>
      <w:b/>
      <w:bCs/>
      <w:kern w:val="0"/>
      <w:sz w:val="18"/>
      <w:szCs w:val="18"/>
    </w:rPr>
  </w:style>
  <w:style w:type="paragraph" w:customStyle="1" w:styleId="46">
    <w:name w:val="xl42"/>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Arial Unicode MS" w:hAnsi="Arial Unicode MS" w:eastAsia="Arial Unicode MS" w:cs="Arial Unicode MS"/>
      <w:b/>
      <w:bCs/>
      <w:kern w:val="0"/>
      <w:sz w:val="18"/>
      <w:szCs w:val="18"/>
    </w:rPr>
  </w:style>
  <w:style w:type="paragraph" w:customStyle="1" w:styleId="47">
    <w:name w:val="xl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kern w:val="0"/>
      <w:sz w:val="18"/>
      <w:szCs w:val="18"/>
    </w:rPr>
  </w:style>
  <w:style w:type="paragraph" w:customStyle="1" w:styleId="48">
    <w:name w:val="xl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kern w:val="0"/>
      <w:sz w:val="18"/>
      <w:szCs w:val="18"/>
    </w:rPr>
  </w:style>
  <w:style w:type="paragraph" w:customStyle="1" w:styleId="49">
    <w:name w:val="xl47"/>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50">
    <w:name w:val="xl4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51">
    <w:name w:val="xl4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52">
    <w:name w:val="xl5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53">
    <w:name w:val="xl51"/>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54">
    <w:name w:val="xl5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55">
    <w:name w:val="xl52"/>
    <w:basedOn w:val="1"/>
    <w:qFormat/>
    <w:uiPriority w:val="0"/>
    <w:pPr>
      <w:widowControl/>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56">
    <w:name w:val="xl53"/>
    <w:basedOn w:val="1"/>
    <w:qFormat/>
    <w:uiPriority w:val="0"/>
    <w:pPr>
      <w:widowControl/>
      <w:spacing w:before="100" w:beforeAutospacing="1" w:after="100" w:afterAutospacing="1"/>
      <w:jc w:val="center"/>
    </w:pPr>
    <w:rPr>
      <w:rFonts w:ascii="Arial Unicode MS" w:hAnsi="Arial Unicode MS" w:eastAsia="Arial Unicode MS" w:cs="Arial Unicode MS"/>
      <w:b/>
      <w:bCs/>
      <w:kern w:val="0"/>
      <w:sz w:val="18"/>
      <w:szCs w:val="18"/>
    </w:rPr>
  </w:style>
  <w:style w:type="paragraph" w:customStyle="1" w:styleId="57">
    <w:name w:val="xl54"/>
    <w:basedOn w:val="1"/>
    <w:qFormat/>
    <w:uiPriority w:val="0"/>
    <w:pPr>
      <w:widowControl/>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58">
    <w:name w:val="xl55"/>
    <w:basedOn w:val="1"/>
    <w:qFormat/>
    <w:uiPriority w:val="0"/>
    <w:pPr>
      <w:widowControl/>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59">
    <w:name w:val="xl57"/>
    <w:basedOn w:val="1"/>
    <w:qFormat/>
    <w:uiPriority w:val="0"/>
    <w:pPr>
      <w:widowControl/>
      <w:pBdr>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60">
    <w:name w:val="xl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61">
    <w:name w:val="xl58"/>
    <w:basedOn w:val="1"/>
    <w:qFormat/>
    <w:uiPriority w:val="0"/>
    <w:pPr>
      <w:widowControl/>
      <w:spacing w:before="100" w:beforeAutospacing="1" w:after="100" w:afterAutospacing="1"/>
      <w:jc w:val="center"/>
    </w:pPr>
    <w:rPr>
      <w:rFonts w:ascii="Arial Unicode MS" w:hAnsi="Arial Unicode MS" w:eastAsia="Arial Unicode MS" w:cs="Arial Unicode MS"/>
      <w:b/>
      <w:bCs/>
      <w:color w:val="000000"/>
      <w:kern w:val="0"/>
      <w:sz w:val="24"/>
    </w:rPr>
  </w:style>
  <w:style w:type="paragraph" w:customStyle="1" w:styleId="62">
    <w:name w:val="样式2"/>
    <w:basedOn w:val="1"/>
    <w:qFormat/>
    <w:uiPriority w:val="0"/>
    <w:pPr>
      <w:spacing w:line="440" w:lineRule="exact"/>
      <w:ind w:firstLine="432"/>
    </w:pPr>
    <w:rPr>
      <w:rFonts w:ascii="宋体" w:hAnsi="宋体"/>
      <w:b/>
      <w:color w:val="FF00FF"/>
      <w:sz w:val="24"/>
    </w:rPr>
  </w:style>
  <w:style w:type="character" w:customStyle="1" w:styleId="63">
    <w:name w:val="批注文字 字符"/>
    <w:basedOn w:val="17"/>
    <w:link w:val="4"/>
    <w:semiHidden/>
    <w:qFormat/>
    <w:uiPriority w:val="99"/>
    <w:rPr>
      <w:kern w:val="2"/>
      <w:sz w:val="21"/>
      <w:szCs w:val="24"/>
    </w:rPr>
  </w:style>
  <w:style w:type="character" w:customStyle="1" w:styleId="64">
    <w:name w:val="批注主题 字符"/>
    <w:basedOn w:val="63"/>
    <w:link w:val="15"/>
    <w:semiHidden/>
    <w:qFormat/>
    <w:uiPriority w:val="99"/>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2523</Words>
  <Characters>2637</Characters>
  <Lines>19</Lines>
  <Paragraphs>5</Paragraphs>
  <TotalTime>8</TotalTime>
  <ScaleCrop>false</ScaleCrop>
  <LinksUpToDate>false</LinksUpToDate>
  <CharactersWithSpaces>2672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2018-10-10T09:16:00Z</dcterms:created>
  <dc:creator>LH</dc:creator>
  <cp:lastModifiedBy>ping he</cp:lastModifiedBy>
  <cp:lastPrinted>2019-07-03T05:04:00Z</cp:lastPrinted>
  <dcterms:modified xsi:type="dcterms:W3CDTF">2022-11-25T00:43:40Z</dcterms:modified>
  <dc:title>五年制药学专业（临床药学方向）人才培养方案</dc:title>
  <cp:revision>125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EAA5B247F59E4789965B2F8143441BFB</vt:lpwstr>
  </property>
</Properties>
</file>