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ind w:left="0" w:right="10"/>
        <w:textAlignment w:val="auto"/>
        <w:rPr>
          <w:rFonts w:ascii="黑体" w:hAnsi="黑体" w:eastAsia="黑体" w:cs="黑体"/>
          <w:b/>
          <w:bCs/>
          <w:color w:val="auto"/>
        </w:rPr>
      </w:pPr>
      <w:bookmarkStart w:id="0" w:name="_bookmark3"/>
      <w:bookmarkEnd w:id="0"/>
      <w:bookmarkStart w:id="1" w:name="_bookmark7"/>
      <w:bookmarkEnd w:id="1"/>
      <w:bookmarkStart w:id="2" w:name="_bookmark6"/>
      <w:bookmarkEnd w:id="2"/>
      <w:bookmarkStart w:id="3" w:name="_bookmark5"/>
      <w:bookmarkEnd w:id="3"/>
      <w:r>
        <w:rPr>
          <w:rFonts w:hint="eastAsia" w:ascii="黑体" w:hAnsi="黑体" w:eastAsia="黑体" w:cs="黑体"/>
          <w:b/>
          <w:bCs/>
          <w:color w:val="auto"/>
        </w:rPr>
        <w:t>六年制临床医学专业（英语授课）人才培养方案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color w:val="auto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一、培养目标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0" w:firstLineChars="200"/>
        <w:textAlignment w:val="auto"/>
        <w:rPr>
          <w:color w:val="auto"/>
        </w:rPr>
      </w:pPr>
      <w:r>
        <w:rPr>
          <w:color w:val="auto"/>
        </w:rPr>
        <w:t>培养热衷服务健康事业，具备良好职业素质，</w:t>
      </w:r>
      <w:r>
        <w:rPr>
          <w:rFonts w:hint="eastAsia"/>
          <w:color w:val="auto"/>
        </w:rPr>
        <w:t>掌握生物医学和临床医学的基础知识、基本理论和基本技能，具有</w:t>
      </w:r>
      <w:r>
        <w:rPr>
          <w:rFonts w:hint="eastAsia"/>
          <w:color w:val="auto"/>
          <w:lang w:val="en-US"/>
        </w:rPr>
        <w:t>一定</w:t>
      </w:r>
      <w:r>
        <w:rPr>
          <w:rFonts w:hint="eastAsia"/>
          <w:color w:val="auto"/>
        </w:rPr>
        <w:t>公共卫生和预防医学知识、自然科学和人文社会科学知识，</w:t>
      </w:r>
      <w:r>
        <w:rPr>
          <w:rFonts w:hint="eastAsia"/>
          <w:color w:val="auto"/>
          <w:lang w:val="en-US"/>
        </w:rPr>
        <w:t>初步具备</w:t>
      </w:r>
      <w:r>
        <w:rPr>
          <w:color w:val="auto"/>
        </w:rPr>
        <w:t>创新精神</w:t>
      </w:r>
      <w:r>
        <w:rPr>
          <w:rFonts w:hint="eastAsia"/>
          <w:color w:val="auto"/>
        </w:rPr>
        <w:t>、</w:t>
      </w:r>
      <w:r>
        <w:rPr>
          <w:color w:val="auto"/>
        </w:rPr>
        <w:t>临床能力，知华、友华的应用型</w:t>
      </w:r>
      <w:r>
        <w:rPr>
          <w:rFonts w:hint="eastAsia"/>
          <w:color w:val="auto"/>
          <w:lang w:val="en-US"/>
        </w:rPr>
        <w:t>国际</w:t>
      </w:r>
      <w:r>
        <w:rPr>
          <w:color w:val="auto"/>
        </w:rPr>
        <w:t>临床</w:t>
      </w:r>
      <w:r>
        <w:rPr>
          <w:rFonts w:hint="eastAsia"/>
          <w:color w:val="auto"/>
          <w:lang w:val="en-US"/>
        </w:rPr>
        <w:t>医学毕业生</w:t>
      </w:r>
      <w:r>
        <w:rPr>
          <w:color w:val="auto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二、培养要求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b/>
          <w:bCs/>
          <w:color w:val="auto"/>
        </w:rPr>
      </w:pPr>
      <w:r>
        <w:rPr>
          <w:b/>
          <w:bCs/>
          <w:color w:val="auto"/>
        </w:rPr>
        <w:t>（一）思想道德与职业素质方面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愿为卫生事业的发展和人类身心健康奋斗终生。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具有爱岗敬业、团结协作的职业精神，有职业的责任感、认同感及使命感。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关爱病人，能给予病人足够人文关怀，将预防疾病、驱除病痛作为自己的终身责任，将提供临终关怀作为自己的道德责任，将维护民众的健康利益作为自己的职业责任。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具有“敬佑生命、救死扶伤、甘于奉献、大爱无疆”的医者精神，保护并促进个体和人群健康的责任意识。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具有与病人及其家属进行交流的意识，使他们充分参与和配合治疗计划。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尊重病人的隐私和人格，尊重病人的个人信仰。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实事求是，始终把民众生命安全和健康放在首位，对于自己不能胜任和安全处理的医疗问题，应该主动寻求其他医师帮助。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在应用各种可能的技术去追求准确的诊断或改变疾病的进程时，应考虑到病人及其家属的利益，并注意发挥可用卫生资源的最大效益。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具有科学态度、创新意识、分析批判精神以及集体主义精神。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了解卫生工作方针、政策和法规，树立依法行医的法律观念，学会用法律保护病人和自身的权益，具有参与社会公共事务、化解矛盾纠纷的意识和能力。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具有崇高的敬业精神和优良的医德医风。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b/>
          <w:bCs/>
          <w:color w:val="auto"/>
        </w:rPr>
      </w:pPr>
      <w:r>
        <w:rPr>
          <w:b/>
          <w:bCs/>
          <w:color w:val="auto"/>
        </w:rPr>
        <w:t>（二）知识与技能方面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掌握基本汉语知识，毕业时中文能力应当至少达到《国际汉语能力标准》四级水平，了解中国的文化及概况。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掌握与医学相关的基础知识和科学方法，并能用于指导未来的学习和医学实践。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掌握系统的基础医学和临床医学知识；一定的临床基本操作技能；基本的药理知识及临床合理用药原则；一定的预防医学知识。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掌握各种常见病、多发病（包括精神疾病）的发病原因、影响因素、发病机理、临床表现、诊断及防治原则。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掌握全科医生基本知识，掌握健康教育、疾病预防和筛查的原则。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掌握临床流行病学的有关知识与方法，理解科学实验在医学研究中的重要作用。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掌握传染病的发生、发展以及传播的基本规律及常见传染病的防治原则，能参与到重大公共卫生事件的处理。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具有全面系统正确地采集病史、进行体格及精神检查和规范书写病历的能力。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具有根据具体情况选择使用最合适的、最经济的诊断、治疗手段的能力。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运用循证医学的原理，针对临床问题进行查证、用证的初步能力。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具有对常见病、多发病和地方性疾病进行诊断和治疗，对急、难、重病进行初步处理的能力。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具备基本的疾病预防和健康宣传教育能力。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具备一定的交流与沟通能力。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4"/>
          <w:szCs w:val="24"/>
          <w:lang w:val="en-US" w:bidi="ar-SA"/>
        </w:rPr>
        <w:t>具备自主学习和终身学习能力。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三、主干学科和主要课程</w:t>
      </w:r>
    </w:p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8" w:lineRule="auto"/>
        <w:ind w:firstLine="480" w:firstLineChars="200"/>
        <w:textAlignment w:val="auto"/>
        <w:rPr>
          <w:rFonts w:hint="eastAsia" w:cs="Times New Roman"/>
          <w:color w:val="auto"/>
          <w:szCs w:val="24"/>
          <w:highlight w:val="none"/>
          <w:lang w:val="en-US" w:bidi="ar-SA"/>
        </w:rPr>
      </w:pPr>
      <w:r>
        <w:rPr>
          <w:rFonts w:hint="eastAsia" w:cs="Times New Roman"/>
          <w:color w:val="auto"/>
          <w:szCs w:val="24"/>
          <w:highlight w:val="none"/>
          <w:lang w:val="en-US" w:bidi="ar-SA"/>
        </w:rPr>
        <w:t>（一）主干学科：自然科学、生物医学、公共卫生、临床医学、汉语</w:t>
      </w:r>
    </w:p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8" w:lineRule="auto"/>
        <w:ind w:firstLine="480" w:firstLineChars="200"/>
        <w:textAlignment w:val="auto"/>
        <w:rPr>
          <w:rFonts w:hint="eastAsia" w:cs="Times New Roman"/>
          <w:color w:val="auto"/>
          <w:szCs w:val="24"/>
          <w:highlight w:val="none"/>
          <w:lang w:val="en-US" w:bidi="ar-SA"/>
        </w:rPr>
      </w:pPr>
      <w:r>
        <w:rPr>
          <w:rFonts w:hint="eastAsia" w:cs="Times New Roman"/>
          <w:color w:val="auto"/>
          <w:szCs w:val="24"/>
          <w:highlight w:val="none"/>
          <w:lang w:val="en-US" w:bidi="ar-SA"/>
        </w:rPr>
        <w:t>（二）主要课程：体育、汉语、医学汉语、中国概况、医学伦理学、医学心理学、医用物理、高等数学、基础化学、有机化学、细胞生物学、解剖学、组织学与胚胎学、生理学生物化学、医学免疫学、病理学、医学遗传学、医学微生物学、药理学、病理生理学、人体寄生虫学、医学统计学、预防医学、流行病学与循证医学、全科医学概论、临床技能学、诊断学、外科学总论、内科学、外科学、妇产科学、儿科学、医学影像学、麻醉学、法医学、传染病学、神经病学、精神病学</w:t>
      </w:r>
      <w:r>
        <w:rPr>
          <w:rFonts w:hint="eastAsia" w:cs="Times New Roman"/>
          <w:color w:val="auto"/>
          <w:szCs w:val="24"/>
          <w:highlight w:val="none"/>
          <w:lang w:val="en-US" w:eastAsia="zh-CN" w:bidi="ar-SA"/>
        </w:rPr>
        <w:t>、</w:t>
      </w:r>
      <w:r>
        <w:rPr>
          <w:rFonts w:hint="eastAsia" w:cs="Times New Roman"/>
          <w:color w:val="auto"/>
          <w:szCs w:val="24"/>
          <w:highlight w:val="none"/>
          <w:lang w:val="en-US" w:bidi="ar-SA"/>
        </w:rPr>
        <w:t>眼科学、耳鼻</w:t>
      </w:r>
      <w:r>
        <w:rPr>
          <w:rFonts w:hint="eastAsia" w:cs="Times New Roman"/>
          <w:color w:val="auto"/>
          <w:szCs w:val="24"/>
          <w:highlight w:val="none"/>
          <w:lang w:val="en-US" w:eastAsia="zh-CN" w:bidi="ar-SA"/>
        </w:rPr>
        <w:t>咽喉</w:t>
      </w:r>
      <w:r>
        <w:rPr>
          <w:rFonts w:hint="eastAsia" w:cs="Times New Roman"/>
          <w:color w:val="auto"/>
          <w:szCs w:val="24"/>
          <w:highlight w:val="none"/>
          <w:lang w:val="en-US" w:bidi="ar-SA"/>
        </w:rPr>
        <w:t>科学、皮肤性病学、老年医学、口腔科学、</w:t>
      </w:r>
      <w:r>
        <w:rPr>
          <w:rFonts w:hint="eastAsia" w:cs="Times New Roman"/>
          <w:color w:val="auto"/>
          <w:szCs w:val="24"/>
          <w:highlight w:val="none"/>
          <w:lang w:val="en-US" w:eastAsia="zh-CN" w:bidi="ar-SA"/>
        </w:rPr>
        <w:t>临床</w:t>
      </w:r>
      <w:r>
        <w:rPr>
          <w:rFonts w:hint="eastAsia" w:cs="Times New Roman"/>
          <w:color w:val="auto"/>
          <w:szCs w:val="24"/>
          <w:highlight w:val="none"/>
          <w:lang w:val="en-US" w:bidi="ar-SA"/>
        </w:rPr>
        <w:t>肿瘤学</w:t>
      </w:r>
      <w:r>
        <w:rPr>
          <w:rFonts w:hint="eastAsia" w:cs="Times New Roman"/>
          <w:color w:val="auto"/>
          <w:szCs w:val="24"/>
          <w:highlight w:val="none"/>
          <w:lang w:val="en-US" w:eastAsia="zh-CN" w:bidi="ar-SA"/>
        </w:rPr>
        <w:t>、中医学等</w:t>
      </w:r>
      <w:r>
        <w:rPr>
          <w:rFonts w:hint="eastAsia" w:cs="Times New Roman"/>
          <w:color w:val="auto"/>
          <w:szCs w:val="24"/>
          <w:highlight w:val="none"/>
          <w:lang w:val="en-US" w:bidi="ar-SA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四、主要实践教学环节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color w:val="auto"/>
        </w:rPr>
      </w:pPr>
      <w:r>
        <w:rPr>
          <w:color w:val="auto"/>
        </w:rPr>
        <w:t>（一）临床技能</w:t>
      </w:r>
      <w:r>
        <w:rPr>
          <w:rFonts w:hint="eastAsia"/>
          <w:color w:val="auto"/>
          <w:lang w:val="en-US" w:eastAsia="zh-CN"/>
        </w:rPr>
        <w:t>培训</w:t>
      </w:r>
      <w:r>
        <w:rPr>
          <w:color w:val="auto"/>
        </w:rPr>
        <w:t>，安排在第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1～10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学期，93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学时，计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3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学分。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52" w:line="288" w:lineRule="auto"/>
        <w:textAlignment w:val="auto"/>
        <w:rPr>
          <w:color w:val="auto"/>
        </w:rPr>
      </w:pPr>
      <w:r>
        <w:rPr>
          <w:color w:val="auto"/>
        </w:rPr>
        <w:t>（二）社会（社区）实践，安排在假期</w:t>
      </w:r>
      <w:r>
        <w:rPr>
          <w:rFonts w:hint="eastAsia"/>
          <w:color w:val="auto"/>
          <w:lang w:eastAsia="zh-CN"/>
        </w:rPr>
        <w:t>，</w:t>
      </w:r>
      <w:r>
        <w:rPr>
          <w:color w:val="auto"/>
        </w:rPr>
        <w:t>2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周，计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2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学分。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color w:val="auto"/>
        </w:rPr>
      </w:pPr>
      <w:r>
        <w:rPr>
          <w:color w:val="auto"/>
        </w:rPr>
        <w:t>（三）毕业实习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52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周，安排在第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10～12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学期，计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52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学分。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五、课程设置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color w:val="auto"/>
        </w:rPr>
      </w:pPr>
      <w:r>
        <w:rPr>
          <w:color w:val="auto"/>
        </w:rPr>
        <w:t>（一）必修课程：共</w:t>
      </w:r>
      <w:r>
        <w:rPr>
          <w:rFonts w:hint="eastAsia"/>
          <w:color w:val="auto"/>
          <w:lang w:val="en-US" w:eastAsia="zh-CN"/>
        </w:rPr>
        <w:t xml:space="preserve"> 36 </w:t>
      </w:r>
      <w:r>
        <w:rPr>
          <w:color w:val="auto"/>
        </w:rPr>
        <w:t>门、</w:t>
      </w:r>
      <w:r>
        <w:rPr>
          <w:rFonts w:hint="eastAsia"/>
          <w:color w:val="auto"/>
          <w:lang w:val="en-US" w:eastAsia="zh-CN"/>
        </w:rPr>
        <w:t xml:space="preserve">3393 </w:t>
      </w:r>
      <w:r>
        <w:rPr>
          <w:color w:val="auto"/>
        </w:rPr>
        <w:t>学时、</w:t>
      </w:r>
      <w:r>
        <w:rPr>
          <w:rFonts w:hint="eastAsia"/>
          <w:color w:val="auto"/>
          <w:lang w:val="en-US"/>
        </w:rPr>
        <w:t>1</w:t>
      </w:r>
      <w:r>
        <w:rPr>
          <w:rFonts w:hint="eastAsia"/>
          <w:color w:val="auto"/>
          <w:lang w:val="en-US" w:eastAsia="zh-CN"/>
        </w:rPr>
        <w:t>77</w:t>
      </w:r>
      <w:r>
        <w:rPr>
          <w:rFonts w:hint="eastAsia"/>
          <w:color w:val="auto"/>
          <w:lang w:val="en-US"/>
        </w:rPr>
        <w:t>.</w:t>
      </w:r>
      <w:r>
        <w:rPr>
          <w:color w:val="auto"/>
          <w:lang w:val="en-US"/>
        </w:rPr>
        <w:t>5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学分，详见教学进程表。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color w:val="auto"/>
        </w:rPr>
      </w:pPr>
      <w:r>
        <w:rPr>
          <w:color w:val="auto"/>
        </w:rPr>
        <w:t>（二）限选课程：</w:t>
      </w:r>
      <w:r>
        <w:rPr>
          <w:rFonts w:hint="eastAsia"/>
          <w:color w:val="auto"/>
          <w:highlight w:val="none"/>
          <w:lang w:val="en-US" w:eastAsia="zh-CN"/>
        </w:rPr>
        <w:t xml:space="preserve">16 </w:t>
      </w:r>
      <w:r>
        <w:rPr>
          <w:color w:val="auto"/>
        </w:rPr>
        <w:t>学分。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52" w:line="288" w:lineRule="auto"/>
        <w:textAlignment w:val="auto"/>
        <w:rPr>
          <w:color w:val="auto"/>
        </w:rPr>
      </w:pPr>
      <w:r>
        <w:rPr>
          <w:color w:val="auto"/>
        </w:rPr>
        <w:t>（三）任选课：8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学分。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color w:val="auto"/>
        </w:rPr>
      </w:pPr>
      <w:r>
        <w:rPr>
          <w:color w:val="auto"/>
        </w:rPr>
        <w:t>（四）毕业实习（52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周，52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color w:val="auto"/>
        </w:rPr>
      </w:pPr>
      <w:r>
        <w:rPr>
          <w:color w:val="auto"/>
        </w:rPr>
        <w:br w:type="page"/>
      </w:r>
    </w:p>
    <w:p>
      <w:pPr>
        <w:pStyle w:val="17"/>
        <w:keepNext w:val="0"/>
        <w:keepLines w:val="0"/>
        <w:pageBreakBefore w:val="0"/>
        <w:tabs>
          <w:tab w:val="left" w:pos="1420"/>
        </w:tabs>
        <w:kinsoku/>
        <w:wordWrap/>
        <w:overflowPunct/>
        <w:topLinePunct w:val="0"/>
        <w:bidi w:val="0"/>
        <w:adjustRightInd/>
        <w:snapToGrid/>
        <w:spacing w:before="52" w:after="26" w:line="288" w:lineRule="auto"/>
        <w:ind w:left="0" w:firstLine="720" w:firstLineChars="300"/>
        <w:textAlignment w:val="auto"/>
        <w:rPr>
          <w:color w:val="auto"/>
          <w:sz w:val="24"/>
        </w:rPr>
      </w:pPr>
      <w:r>
        <w:rPr>
          <w:rFonts w:hint="eastAsia"/>
          <w:color w:val="auto"/>
          <w:sz w:val="24"/>
          <w:lang w:val="en-US"/>
        </w:rPr>
        <w:t xml:space="preserve">1. </w:t>
      </w:r>
      <w:r>
        <w:rPr>
          <w:color w:val="auto"/>
          <w:sz w:val="24"/>
        </w:rPr>
        <w:t>必修实习科目（</w:t>
      </w:r>
      <w:r>
        <w:rPr>
          <w:color w:val="auto"/>
          <w:spacing w:val="-30"/>
          <w:sz w:val="24"/>
        </w:rPr>
        <w:t>共</w:t>
      </w:r>
      <w:r>
        <w:rPr>
          <w:rFonts w:hint="eastAsia"/>
          <w:color w:val="auto"/>
          <w:spacing w:val="-30"/>
          <w:sz w:val="24"/>
          <w:lang w:val="en-US" w:eastAsia="zh-CN"/>
        </w:rPr>
        <w:t xml:space="preserve"> </w:t>
      </w:r>
      <w:r>
        <w:rPr>
          <w:color w:val="auto"/>
          <w:sz w:val="24"/>
        </w:rPr>
        <w:t>9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color w:val="auto"/>
          <w:spacing w:val="-20"/>
          <w:sz w:val="24"/>
        </w:rPr>
        <w:t>门、</w:t>
      </w:r>
      <w:r>
        <w:rPr>
          <w:color w:val="auto"/>
          <w:sz w:val="24"/>
        </w:rPr>
        <w:t>4</w:t>
      </w:r>
      <w:r>
        <w:rPr>
          <w:rFonts w:hint="eastAsia"/>
          <w:color w:val="auto"/>
          <w:sz w:val="24"/>
          <w:lang w:val="en-US"/>
        </w:rPr>
        <w:t>6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color w:val="auto"/>
          <w:spacing w:val="-20"/>
          <w:sz w:val="24"/>
        </w:rPr>
        <w:t>周、</w:t>
      </w:r>
      <w:r>
        <w:rPr>
          <w:rFonts w:hint="eastAsia"/>
          <w:color w:val="auto"/>
          <w:spacing w:val="-20"/>
          <w:sz w:val="24"/>
          <w:lang w:val="en-US" w:eastAsia="zh-CN"/>
        </w:rPr>
        <w:t>50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color w:val="auto"/>
          <w:spacing w:val="-20"/>
          <w:sz w:val="24"/>
        </w:rPr>
        <w:t>学分</w:t>
      </w:r>
      <w:r>
        <w:rPr>
          <w:color w:val="auto"/>
          <w:sz w:val="24"/>
        </w:rPr>
        <w:t>）</w:t>
      </w:r>
    </w:p>
    <w:tbl>
      <w:tblPr>
        <w:tblStyle w:val="13"/>
        <w:tblW w:w="905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7"/>
        <w:gridCol w:w="822"/>
        <w:gridCol w:w="962"/>
        <w:gridCol w:w="603"/>
        <w:gridCol w:w="2025"/>
        <w:gridCol w:w="913"/>
        <w:gridCol w:w="15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207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88" w:lineRule="auto"/>
              <w:ind w:left="0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科目名称</w:t>
            </w:r>
          </w:p>
        </w:tc>
        <w:tc>
          <w:tcPr>
            <w:tcW w:w="82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  <w:t>周</w:t>
            </w:r>
          </w:p>
        </w:tc>
        <w:tc>
          <w:tcPr>
            <w:tcW w:w="96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  <w:t>学分</w:t>
            </w:r>
          </w:p>
        </w:tc>
        <w:tc>
          <w:tcPr>
            <w:tcW w:w="603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科目名称</w:t>
            </w:r>
          </w:p>
        </w:tc>
        <w:tc>
          <w:tcPr>
            <w:tcW w:w="913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周</w:t>
            </w:r>
          </w:p>
        </w:tc>
        <w:tc>
          <w:tcPr>
            <w:tcW w:w="1524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学分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207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内科</w:t>
            </w:r>
          </w:p>
        </w:tc>
        <w:tc>
          <w:tcPr>
            <w:tcW w:w="822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Style w:val="15"/>
                <w:rFonts w:hint="eastAsia" w:ascii="宋体" w:hAnsi="宋体"/>
                <w:b w:val="0"/>
                <w:kern w:val="2"/>
                <w:sz w:val="24"/>
                <w:szCs w:val="24"/>
                <w:lang w:val="en-US" w:bidi="ar-SA"/>
              </w:rPr>
              <w:t>3</w:t>
            </w:r>
          </w:p>
        </w:tc>
        <w:tc>
          <w:tcPr>
            <w:tcW w:w="962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="宋体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Style w:val="15"/>
                <w:rFonts w:hint="eastAsia"/>
                <w:b w:val="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603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外科</w:t>
            </w:r>
          </w:p>
        </w:tc>
        <w:tc>
          <w:tcPr>
            <w:tcW w:w="913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12</w:t>
            </w:r>
          </w:p>
        </w:tc>
        <w:tc>
          <w:tcPr>
            <w:tcW w:w="1524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Style w:val="15"/>
                <w:rFonts w:hint="eastAsia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 w:firstLine="480" w:firstLineChars="200"/>
              <w:textAlignment w:val="auto"/>
              <w:rPr>
                <w:color w:val="auto"/>
                <w:sz w:val="24"/>
              </w:rPr>
            </w:pPr>
            <w:r>
              <w:rPr>
                <w:rStyle w:val="15"/>
                <w:rFonts w:hint="eastAsia"/>
                <w:b w:val="0"/>
                <w:color w:val="auto"/>
                <w:sz w:val="24"/>
                <w:lang w:val="en-US"/>
              </w:rPr>
              <w:t>心血管内科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/>
                <w:b w:val="0"/>
                <w:kern w:val="2"/>
                <w:sz w:val="24"/>
                <w:szCs w:val="24"/>
                <w:lang w:val="en-US" w:bidi="ar-SA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="宋体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/>
                <w:b w:val="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rFonts w:hint="eastAsia"/>
                <w:color w:val="auto"/>
                <w:sz w:val="24"/>
                <w:lang w:val="en-US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肝胆外科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 w:firstLine="480" w:firstLineChars="200"/>
              <w:textAlignment w:val="auto"/>
              <w:rPr>
                <w:color w:val="auto"/>
                <w:sz w:val="24"/>
              </w:rPr>
            </w:pPr>
            <w:r>
              <w:rPr>
                <w:rStyle w:val="15"/>
                <w:rFonts w:hint="eastAsia"/>
                <w:b w:val="0"/>
                <w:color w:val="auto"/>
                <w:sz w:val="24"/>
                <w:lang w:val="en-US"/>
              </w:rPr>
              <w:t>消化内科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/>
                <w:b w:val="0"/>
                <w:kern w:val="2"/>
                <w:sz w:val="24"/>
                <w:szCs w:val="24"/>
                <w:lang w:val="en-US" w:bidi="ar-SA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="宋体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/>
                <w:b w:val="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rFonts w:hint="eastAsia"/>
                <w:color w:val="auto"/>
                <w:sz w:val="24"/>
                <w:lang w:val="en-US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胃肠外科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 w:firstLine="480" w:firstLineChars="200"/>
              <w:textAlignment w:val="auto"/>
              <w:rPr>
                <w:color w:val="auto"/>
                <w:sz w:val="24"/>
              </w:rPr>
            </w:pPr>
            <w:r>
              <w:rPr>
                <w:rStyle w:val="15"/>
                <w:rFonts w:hint="eastAsia"/>
                <w:b w:val="0"/>
                <w:color w:val="auto"/>
                <w:sz w:val="24"/>
                <w:lang w:val="en-US"/>
              </w:rPr>
              <w:t>呼吸内科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/>
                <w:b w:val="0"/>
                <w:kern w:val="2"/>
                <w:sz w:val="24"/>
                <w:szCs w:val="24"/>
                <w:lang w:val="en-US" w:bidi="ar-SA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="宋体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/>
                <w:b w:val="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rFonts w:hint="eastAsia"/>
                <w:color w:val="auto"/>
                <w:sz w:val="24"/>
                <w:lang w:val="en-US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其他普通外科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2207" w:type="dxa"/>
            <w:tcBorders>
              <w:top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/>
              <w:textAlignment w:val="auto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 xml:space="preserve">    其他内科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="宋体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/>
                <w:b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62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="宋体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/>
                <w:b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03" w:type="dxa"/>
            <w:tcBorders>
              <w:top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rFonts w:hint="eastAsia"/>
                <w:color w:val="auto"/>
                <w:sz w:val="24"/>
                <w:lang w:val="en-US"/>
              </w:rPr>
            </w:pPr>
          </w:p>
        </w:tc>
        <w:tc>
          <w:tcPr>
            <w:tcW w:w="2025" w:type="dxa"/>
            <w:tcBorders>
              <w:top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>其他外科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6</w:t>
            </w:r>
          </w:p>
        </w:tc>
        <w:tc>
          <w:tcPr>
            <w:tcW w:w="1524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2207" w:type="dxa"/>
            <w:tcBorders>
              <w:top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 w:lef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 w:eastAsia="zh-CN" w:bidi="zh-CN"/>
              </w:rPr>
            </w:pPr>
            <w:r>
              <w:rPr>
                <w:rFonts w:hint="eastAsia"/>
                <w:color w:val="auto"/>
                <w:sz w:val="24"/>
                <w:lang w:val="en-US"/>
              </w:rPr>
              <w:t xml:space="preserve">    其他内科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/>
                <w:b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62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/>
                <w:b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03" w:type="dxa"/>
            <w:tcBorders>
              <w:top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rFonts w:hint="eastAsia"/>
                <w:color w:val="auto"/>
                <w:sz w:val="24"/>
                <w:lang w:val="en-US"/>
              </w:rPr>
            </w:pPr>
          </w:p>
        </w:tc>
        <w:tc>
          <w:tcPr>
            <w:tcW w:w="2025" w:type="dxa"/>
            <w:tcBorders>
              <w:top w:val="nil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firstLine="480" w:firstLineChars="200"/>
              <w:textAlignment w:val="auto"/>
              <w:rPr>
                <w:rFonts w:hint="eastAsia"/>
                <w:color w:val="auto"/>
                <w:sz w:val="24"/>
                <w:lang w:val="en-US"/>
              </w:rPr>
            </w:pPr>
          </w:p>
        </w:tc>
        <w:tc>
          <w:tcPr>
            <w:tcW w:w="913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524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2207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ind w:left="122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妇产科</w:t>
            </w:r>
          </w:p>
        </w:tc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  <w:t>6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="宋体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/>
                <w:b w:val="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603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儿科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6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2207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/>
              <w:textAlignment w:val="auto"/>
              <w:rPr>
                <w:color w:val="auto"/>
                <w:sz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感染性疾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病科</w:t>
            </w:r>
          </w:p>
        </w:tc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603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神经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内</w:t>
            </w:r>
            <w:r>
              <w:rPr>
                <w:color w:val="auto"/>
                <w:sz w:val="24"/>
              </w:rPr>
              <w:t>科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2207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急诊科</w:t>
            </w:r>
          </w:p>
        </w:tc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603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社区卫生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207" w:type="dxa"/>
            <w:tcBorders>
              <w:bottom w:val="single" w:color="000000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ind w:left="122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岗前培训</w:t>
            </w:r>
          </w:p>
        </w:tc>
        <w:tc>
          <w:tcPr>
            <w:tcW w:w="822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/>
                <w:b w:val="0"/>
                <w:kern w:val="2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962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ascii="宋体" w:hAnsi="宋体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/>
                <w:b w:val="0"/>
                <w:kern w:val="2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603" w:type="dxa"/>
            <w:tcBorders>
              <w:bottom w:val="single" w:color="000000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ascii="Times New Roman"/>
                <w:color w:val="auto"/>
                <w:lang w:val="en-US"/>
              </w:rPr>
            </w:pPr>
          </w:p>
        </w:tc>
        <w:tc>
          <w:tcPr>
            <w:tcW w:w="4462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ascii="Times New Roman"/>
                <w:color w:val="auto"/>
                <w:lang w:val="en-US"/>
              </w:rPr>
            </w:pPr>
          </w:p>
        </w:tc>
      </w:tr>
    </w:tbl>
    <w:p>
      <w:pPr>
        <w:pStyle w:val="17"/>
        <w:keepNext w:val="0"/>
        <w:keepLines w:val="0"/>
        <w:pageBreakBefore w:val="0"/>
        <w:tabs>
          <w:tab w:val="left" w:pos="1420"/>
        </w:tabs>
        <w:kinsoku/>
        <w:wordWrap/>
        <w:overflowPunct/>
        <w:topLinePunct w:val="0"/>
        <w:bidi w:val="0"/>
        <w:adjustRightInd/>
        <w:snapToGrid/>
        <w:spacing w:before="0" w:after="26" w:line="288" w:lineRule="auto"/>
        <w:ind w:left="0" w:firstLine="720" w:firstLineChars="300"/>
        <w:textAlignment w:val="auto"/>
        <w:rPr>
          <w:color w:val="auto"/>
          <w:sz w:val="24"/>
        </w:rPr>
      </w:pPr>
      <w:r>
        <w:rPr>
          <w:rFonts w:hint="eastAsia"/>
          <w:color w:val="auto"/>
          <w:sz w:val="24"/>
          <w:lang w:val="en-US"/>
        </w:rPr>
        <w:t xml:space="preserve">2. </w:t>
      </w:r>
      <w:r>
        <w:rPr>
          <w:color w:val="auto"/>
          <w:sz w:val="24"/>
        </w:rPr>
        <w:t>选修实习科目（</w:t>
      </w:r>
      <w:r>
        <w:rPr>
          <w:color w:val="auto"/>
          <w:spacing w:val="-30"/>
          <w:sz w:val="24"/>
        </w:rPr>
        <w:t>选</w:t>
      </w:r>
      <w:r>
        <w:rPr>
          <w:rFonts w:hint="eastAsia"/>
          <w:color w:val="auto"/>
          <w:spacing w:val="-30"/>
          <w:sz w:val="24"/>
          <w:lang w:val="en-US" w:eastAsia="zh-CN"/>
        </w:rPr>
        <w:t xml:space="preserve"> 1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color w:val="auto"/>
          <w:spacing w:val="-40"/>
          <w:sz w:val="24"/>
        </w:rPr>
        <w:t>门</w:t>
      </w:r>
      <w:r>
        <w:rPr>
          <w:rFonts w:hint="eastAsia"/>
          <w:color w:val="auto"/>
          <w:spacing w:val="-40"/>
          <w:sz w:val="24"/>
        </w:rPr>
        <w:t>，</w:t>
      </w:r>
      <w:r>
        <w:rPr>
          <w:rFonts w:hint="eastAsia"/>
          <w:color w:val="auto"/>
          <w:spacing w:val="-40"/>
          <w:sz w:val="24"/>
          <w:lang w:val="en-US"/>
        </w:rPr>
        <w:t>2</w:t>
      </w:r>
      <w:r>
        <w:rPr>
          <w:rFonts w:hint="eastAsia"/>
          <w:color w:val="auto"/>
          <w:spacing w:val="-40"/>
          <w:sz w:val="24"/>
          <w:lang w:val="en-US" w:eastAsia="zh-CN"/>
        </w:rPr>
        <w:t xml:space="preserve"> </w:t>
      </w:r>
      <w:r>
        <w:rPr>
          <w:rFonts w:hint="eastAsia"/>
          <w:color w:val="auto"/>
          <w:spacing w:val="-40"/>
          <w:sz w:val="24"/>
          <w:lang w:val="en-US"/>
        </w:rPr>
        <w:t>周</w:t>
      </w:r>
      <w:r>
        <w:rPr>
          <w:color w:val="auto"/>
          <w:spacing w:val="-18"/>
          <w:sz w:val="24"/>
        </w:rPr>
        <w:t>，</w:t>
      </w:r>
      <w:r>
        <w:rPr>
          <w:rFonts w:hint="eastAsia"/>
          <w:color w:val="auto"/>
          <w:sz w:val="24"/>
          <w:lang w:val="en-US" w:eastAsia="zh-CN"/>
        </w:rPr>
        <w:t xml:space="preserve">2 </w:t>
      </w:r>
      <w:r>
        <w:rPr>
          <w:color w:val="auto"/>
          <w:spacing w:val="-20"/>
          <w:sz w:val="24"/>
        </w:rPr>
        <w:t>学分</w:t>
      </w:r>
      <w:r>
        <w:rPr>
          <w:color w:val="auto"/>
          <w:sz w:val="24"/>
        </w:rPr>
        <w:t>）</w:t>
      </w:r>
    </w:p>
    <w:tbl>
      <w:tblPr>
        <w:tblStyle w:val="13"/>
        <w:tblW w:w="905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9"/>
        <w:gridCol w:w="872"/>
        <w:gridCol w:w="925"/>
        <w:gridCol w:w="603"/>
        <w:gridCol w:w="2063"/>
        <w:gridCol w:w="937"/>
        <w:gridCol w:w="14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169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科目名称</w:t>
            </w:r>
          </w:p>
        </w:tc>
        <w:tc>
          <w:tcPr>
            <w:tcW w:w="872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周</w:t>
            </w:r>
          </w:p>
        </w:tc>
        <w:tc>
          <w:tcPr>
            <w:tcW w:w="92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学</w:t>
            </w: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  <w:t>分</w:t>
            </w:r>
          </w:p>
        </w:tc>
        <w:tc>
          <w:tcPr>
            <w:tcW w:w="60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386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206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科目名称</w:t>
            </w:r>
          </w:p>
        </w:tc>
        <w:tc>
          <w:tcPr>
            <w:tcW w:w="937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周</w:t>
            </w:r>
          </w:p>
        </w:tc>
        <w:tc>
          <w:tcPr>
            <w:tcW w:w="148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学分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2169" w:type="dxa"/>
            <w:tcBorders>
              <w:top w:val="single" w:color="000000" w:sz="4" w:space="0"/>
            </w:tcBorders>
            <w:vAlign w:val="top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 w:leftChars="0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耳鼻咽喉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头颈外</w:t>
            </w:r>
            <w:r>
              <w:rPr>
                <w:color w:val="auto"/>
                <w:sz w:val="24"/>
              </w:rPr>
              <w:t>科</w:t>
            </w:r>
          </w:p>
        </w:tc>
        <w:tc>
          <w:tcPr>
            <w:tcW w:w="872" w:type="dxa"/>
            <w:tcBorders>
              <w:top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925" w:type="dxa"/>
            <w:tcBorders>
              <w:top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603" w:type="dxa"/>
            <w:tcBorders>
              <w:top w:val="single" w:color="000000" w:sz="4" w:space="0"/>
            </w:tcBorders>
            <w:vAlign w:val="top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right="687" w:rightChars="0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2063" w:type="dxa"/>
            <w:tcBorders>
              <w:top w:val="single" w:color="000000" w:sz="4" w:space="0"/>
            </w:tcBorders>
            <w:vAlign w:val="top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  <w:r>
              <w:rPr>
                <w:rStyle w:val="15"/>
                <w:rFonts w:hint="eastAsia"/>
                <w:b w:val="0"/>
                <w:color w:val="auto"/>
                <w:sz w:val="24"/>
                <w:lang w:val="en-US" w:eastAsia="zh-CN"/>
              </w:rPr>
              <w:t>眼</w:t>
            </w:r>
            <w:r>
              <w:rPr>
                <w:rStyle w:val="15"/>
                <w:rFonts w:hint="eastAsia" w:ascii="宋体" w:hAnsi="宋体"/>
                <w:b w:val="0"/>
                <w:color w:val="auto"/>
                <w:sz w:val="24"/>
                <w:lang w:val="en-US" w:eastAsia="zh-CN"/>
              </w:rPr>
              <w:t>科</w:t>
            </w:r>
          </w:p>
        </w:tc>
        <w:tc>
          <w:tcPr>
            <w:tcW w:w="937" w:type="dxa"/>
            <w:tcBorders>
              <w:top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1488" w:type="dxa"/>
            <w:tcBorders>
              <w:top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2169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 w:leftChars="0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放射</w:t>
            </w:r>
            <w:r>
              <w:rPr>
                <w:rFonts w:hint="eastAsia"/>
                <w:color w:val="auto"/>
                <w:sz w:val="24"/>
              </w:rPr>
              <w:t>科</w:t>
            </w:r>
          </w:p>
        </w:tc>
        <w:tc>
          <w:tcPr>
            <w:tcW w:w="8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603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right="687" w:rightChars="0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2063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皮肤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性病</w:t>
            </w:r>
            <w:r>
              <w:rPr>
                <w:color w:val="auto"/>
                <w:sz w:val="24"/>
              </w:rPr>
              <w:t>科</w:t>
            </w:r>
          </w:p>
        </w:tc>
        <w:tc>
          <w:tcPr>
            <w:tcW w:w="93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14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2169" w:type="dxa"/>
            <w:tcBorders>
              <w:bottom w:val="single" w:color="000000" w:sz="4" w:space="0"/>
            </w:tcBorders>
            <w:vAlign w:val="top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left="122" w:leftChars="0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心理卫生科</w:t>
            </w:r>
          </w:p>
        </w:tc>
        <w:tc>
          <w:tcPr>
            <w:tcW w:w="872" w:type="dxa"/>
            <w:tcBorders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925" w:type="dxa"/>
            <w:tcBorders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</w:pPr>
            <w:r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603" w:type="dxa"/>
            <w:tcBorders>
              <w:bottom w:val="single" w:color="000000" w:sz="4" w:space="0"/>
            </w:tcBorders>
            <w:vAlign w:val="top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ind w:right="687" w:rightChars="0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2063" w:type="dxa"/>
            <w:tcBorders>
              <w:bottom w:val="single" w:color="000000" w:sz="4" w:space="0"/>
            </w:tcBorders>
            <w:vAlign w:val="top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2" w:line="288" w:lineRule="auto"/>
              <w:textAlignment w:val="auto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937" w:type="dxa"/>
            <w:tcBorders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8" w:type="dxa"/>
            <w:tcBorders>
              <w:bottom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Style w:val="15"/>
                <w:rFonts w:hint="eastAsia" w:ascii="宋体" w:hAnsi="宋体" w:eastAsiaTheme="minorEastAsia"/>
                <w:b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27" w:line="288" w:lineRule="auto"/>
        <w:textAlignment w:val="auto"/>
        <w:rPr>
          <w:color w:val="auto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27" w:line="288" w:lineRule="auto"/>
        <w:textAlignment w:val="auto"/>
        <w:rPr>
          <w:color w:val="auto"/>
        </w:rPr>
      </w:pPr>
      <w:r>
        <w:rPr>
          <w:color w:val="auto"/>
        </w:rPr>
        <w:t>（五）社会实践（2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周、2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学分）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0" w:firstLineChars="200"/>
        <w:textAlignment w:val="auto"/>
        <w:rPr>
          <w:color w:val="auto"/>
        </w:rPr>
      </w:pPr>
      <w:r>
        <w:rPr>
          <w:color w:val="auto"/>
        </w:rPr>
        <w:t>社会实践安排在假期中进行，由国际教育学院统一安排。主要包括：义诊、社区健康调查等。</w:t>
      </w:r>
      <w:bookmarkStart w:id="5" w:name="_GoBack"/>
      <w:bookmarkEnd w:id="5"/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六、学制及修业年限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88" w:lineRule="auto"/>
        <w:textAlignment w:val="auto"/>
        <w:rPr>
          <w:color w:val="auto"/>
        </w:rPr>
      </w:pPr>
      <w:r>
        <w:rPr>
          <w:color w:val="auto"/>
        </w:rPr>
        <w:t>（一）基本学制：6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年。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52" w:line="288" w:lineRule="auto"/>
        <w:textAlignment w:val="auto"/>
        <w:rPr>
          <w:color w:val="auto"/>
          <w:sz w:val="34"/>
        </w:rPr>
      </w:pPr>
      <w:r>
        <w:rPr>
          <w:color w:val="auto"/>
        </w:rPr>
        <w:t>（二）修业年限：6～9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年。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47" w:line="288" w:lineRule="auto"/>
        <w:textAlignment w:val="auto"/>
        <w:rPr>
          <w:color w:val="auto"/>
        </w:rPr>
      </w:pPr>
      <w:r>
        <w:rPr>
          <w:color w:val="auto"/>
        </w:rPr>
        <w:t>（三）各学年时间安排，见表1</w:t>
      </w:r>
    </w:p>
    <w:p>
      <w:pPr>
        <w:keepNext w:val="0"/>
        <w:keepLines w:val="0"/>
        <w:pageBreakBefore w:val="0"/>
        <w:tabs>
          <w:tab w:val="left" w:pos="2760"/>
        </w:tabs>
        <w:kinsoku/>
        <w:wordWrap/>
        <w:overflowPunct/>
        <w:topLinePunct w:val="0"/>
        <w:bidi w:val="0"/>
        <w:adjustRightInd/>
        <w:snapToGrid/>
        <w:spacing w:before="72" w:after="45" w:line="288" w:lineRule="auto"/>
        <w:ind w:firstLine="630" w:firstLineChars="300"/>
        <w:jc w:val="center"/>
        <w:textAlignment w:val="auto"/>
        <w:rPr>
          <w:color w:val="auto"/>
          <w:sz w:val="21"/>
        </w:rPr>
      </w:pPr>
      <w:r>
        <w:rPr>
          <w:color w:val="auto"/>
          <w:sz w:val="21"/>
        </w:rPr>
        <w:t>表1</w:t>
      </w:r>
      <w:r>
        <w:rPr>
          <w:rFonts w:hint="eastAsia"/>
          <w:color w:val="auto"/>
          <w:sz w:val="21"/>
          <w:lang w:val="en-US" w:eastAsia="zh-CN"/>
        </w:rPr>
        <w:t xml:space="preserve"> </w:t>
      </w:r>
      <w:r>
        <w:rPr>
          <w:color w:val="auto"/>
          <w:sz w:val="21"/>
        </w:rPr>
        <w:t>六</w:t>
      </w:r>
      <w:r>
        <w:rPr>
          <w:color w:val="auto"/>
          <w:spacing w:val="-3"/>
          <w:sz w:val="21"/>
        </w:rPr>
        <w:t>年</w:t>
      </w:r>
      <w:r>
        <w:rPr>
          <w:color w:val="auto"/>
          <w:sz w:val="21"/>
        </w:rPr>
        <w:t>制</w:t>
      </w:r>
      <w:r>
        <w:rPr>
          <w:color w:val="auto"/>
          <w:spacing w:val="-3"/>
          <w:sz w:val="21"/>
        </w:rPr>
        <w:t>临</w:t>
      </w:r>
      <w:r>
        <w:rPr>
          <w:color w:val="auto"/>
          <w:sz w:val="21"/>
        </w:rPr>
        <w:t>床</w:t>
      </w:r>
      <w:r>
        <w:rPr>
          <w:color w:val="auto"/>
          <w:spacing w:val="-3"/>
          <w:sz w:val="21"/>
        </w:rPr>
        <w:t>医</w:t>
      </w:r>
      <w:r>
        <w:rPr>
          <w:color w:val="auto"/>
          <w:sz w:val="21"/>
        </w:rPr>
        <w:t>学</w:t>
      </w:r>
      <w:r>
        <w:rPr>
          <w:color w:val="auto"/>
          <w:spacing w:val="-3"/>
          <w:sz w:val="21"/>
        </w:rPr>
        <w:t>专</w:t>
      </w:r>
      <w:r>
        <w:rPr>
          <w:color w:val="auto"/>
          <w:sz w:val="21"/>
        </w:rPr>
        <w:t>业（</w:t>
      </w:r>
      <w:r>
        <w:rPr>
          <w:color w:val="auto"/>
          <w:spacing w:val="-3"/>
          <w:sz w:val="21"/>
        </w:rPr>
        <w:t>英</w:t>
      </w:r>
      <w:r>
        <w:rPr>
          <w:color w:val="auto"/>
          <w:sz w:val="21"/>
        </w:rPr>
        <w:t>语</w:t>
      </w:r>
      <w:r>
        <w:rPr>
          <w:color w:val="auto"/>
          <w:spacing w:val="-3"/>
          <w:sz w:val="21"/>
        </w:rPr>
        <w:t>授</w:t>
      </w:r>
      <w:r>
        <w:rPr>
          <w:color w:val="auto"/>
          <w:sz w:val="21"/>
        </w:rPr>
        <w:t>课</w:t>
      </w:r>
      <w:r>
        <w:rPr>
          <w:color w:val="auto"/>
          <w:spacing w:val="-3"/>
          <w:sz w:val="21"/>
        </w:rPr>
        <w:t>）</w:t>
      </w:r>
      <w:r>
        <w:rPr>
          <w:color w:val="auto"/>
          <w:sz w:val="21"/>
        </w:rPr>
        <w:t>各</w:t>
      </w:r>
      <w:r>
        <w:rPr>
          <w:color w:val="auto"/>
          <w:spacing w:val="-3"/>
          <w:sz w:val="21"/>
        </w:rPr>
        <w:t>学</w:t>
      </w:r>
      <w:r>
        <w:rPr>
          <w:color w:val="auto"/>
          <w:sz w:val="21"/>
        </w:rPr>
        <w:t>年</w:t>
      </w:r>
      <w:r>
        <w:rPr>
          <w:color w:val="auto"/>
          <w:spacing w:val="-3"/>
          <w:sz w:val="21"/>
        </w:rPr>
        <w:t>时</w:t>
      </w:r>
      <w:r>
        <w:rPr>
          <w:color w:val="auto"/>
          <w:sz w:val="21"/>
        </w:rPr>
        <w:t>间安</w:t>
      </w:r>
      <w:r>
        <w:rPr>
          <w:color w:val="auto"/>
          <w:spacing w:val="-3"/>
          <w:sz w:val="21"/>
        </w:rPr>
        <w:t>排</w:t>
      </w:r>
      <w:r>
        <w:rPr>
          <w:color w:val="auto"/>
          <w:sz w:val="21"/>
        </w:rPr>
        <w:t>（</w:t>
      </w:r>
      <w:r>
        <w:rPr>
          <w:color w:val="auto"/>
          <w:spacing w:val="-3"/>
          <w:sz w:val="21"/>
        </w:rPr>
        <w:t>单</w:t>
      </w:r>
      <w:r>
        <w:rPr>
          <w:color w:val="auto"/>
          <w:sz w:val="21"/>
        </w:rPr>
        <w:t>位</w:t>
      </w:r>
      <w:r>
        <w:rPr>
          <w:color w:val="auto"/>
          <w:spacing w:val="-3"/>
          <w:sz w:val="21"/>
        </w:rPr>
        <w:t>：</w:t>
      </w:r>
      <w:r>
        <w:rPr>
          <w:color w:val="auto"/>
          <w:sz w:val="21"/>
        </w:rPr>
        <w:t>周）</w:t>
      </w:r>
    </w:p>
    <w:tbl>
      <w:tblPr>
        <w:tblStyle w:val="13"/>
        <w:tblW w:w="889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1185"/>
        <w:gridCol w:w="1020"/>
        <w:gridCol w:w="1320"/>
        <w:gridCol w:w="1080"/>
        <w:gridCol w:w="1020"/>
        <w:gridCol w:w="2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245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学年</w:t>
            </w:r>
          </w:p>
        </w:tc>
        <w:tc>
          <w:tcPr>
            <w:tcW w:w="1185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教学</w:t>
            </w:r>
          </w:p>
        </w:tc>
        <w:tc>
          <w:tcPr>
            <w:tcW w:w="1020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考试</w:t>
            </w:r>
          </w:p>
        </w:tc>
        <w:tc>
          <w:tcPr>
            <w:tcW w:w="1320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毕业实习</w:t>
            </w:r>
          </w:p>
        </w:tc>
        <w:tc>
          <w:tcPr>
            <w:tcW w:w="1080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机动</w:t>
            </w:r>
          </w:p>
        </w:tc>
        <w:tc>
          <w:tcPr>
            <w:tcW w:w="1020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假期</w:t>
            </w:r>
          </w:p>
        </w:tc>
        <w:tc>
          <w:tcPr>
            <w:tcW w:w="2025" w:type="dxa"/>
            <w:tcBorders>
              <w:top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tcBorders>
              <w:top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一</w:t>
            </w:r>
          </w:p>
        </w:tc>
        <w:tc>
          <w:tcPr>
            <w:tcW w:w="1185" w:type="dxa"/>
            <w:tcBorders>
              <w:top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27</w:t>
            </w:r>
          </w:p>
        </w:tc>
        <w:tc>
          <w:tcPr>
            <w:tcW w:w="1020" w:type="dxa"/>
            <w:tcBorders>
              <w:top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4</w:t>
            </w:r>
          </w:p>
        </w:tc>
        <w:tc>
          <w:tcPr>
            <w:tcW w:w="1320" w:type="dxa"/>
            <w:tcBorders>
              <w:top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080" w:type="dxa"/>
            <w:tcBorders>
              <w:top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7</w:t>
            </w:r>
          </w:p>
        </w:tc>
        <w:tc>
          <w:tcPr>
            <w:tcW w:w="1020" w:type="dxa"/>
            <w:tcBorders>
              <w:top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14</w:t>
            </w:r>
          </w:p>
        </w:tc>
        <w:tc>
          <w:tcPr>
            <w:tcW w:w="2025" w:type="dxa"/>
            <w:tcBorders>
              <w:top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124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二</w:t>
            </w:r>
          </w:p>
        </w:tc>
        <w:tc>
          <w:tcPr>
            <w:tcW w:w="118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32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4</w:t>
            </w:r>
          </w:p>
        </w:tc>
        <w:tc>
          <w:tcPr>
            <w:tcW w:w="13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08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14</w:t>
            </w:r>
          </w:p>
        </w:tc>
        <w:tc>
          <w:tcPr>
            <w:tcW w:w="202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124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三</w:t>
            </w:r>
          </w:p>
        </w:tc>
        <w:tc>
          <w:tcPr>
            <w:tcW w:w="118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32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4</w:t>
            </w:r>
          </w:p>
        </w:tc>
        <w:tc>
          <w:tcPr>
            <w:tcW w:w="13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08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14</w:t>
            </w:r>
          </w:p>
        </w:tc>
        <w:tc>
          <w:tcPr>
            <w:tcW w:w="202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四</w:t>
            </w:r>
          </w:p>
        </w:tc>
        <w:tc>
          <w:tcPr>
            <w:tcW w:w="118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32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4</w:t>
            </w:r>
          </w:p>
        </w:tc>
        <w:tc>
          <w:tcPr>
            <w:tcW w:w="13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08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14</w:t>
            </w:r>
          </w:p>
        </w:tc>
        <w:tc>
          <w:tcPr>
            <w:tcW w:w="202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五</w:t>
            </w:r>
          </w:p>
        </w:tc>
        <w:tc>
          <w:tcPr>
            <w:tcW w:w="118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28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</w:t>
            </w:r>
          </w:p>
        </w:tc>
        <w:tc>
          <w:tcPr>
            <w:tcW w:w="13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15</w:t>
            </w:r>
          </w:p>
        </w:tc>
        <w:tc>
          <w:tcPr>
            <w:tcW w:w="108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5</w:t>
            </w:r>
          </w:p>
        </w:tc>
        <w:tc>
          <w:tcPr>
            <w:tcW w:w="202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六</w:t>
            </w:r>
          </w:p>
        </w:tc>
        <w:tc>
          <w:tcPr>
            <w:tcW w:w="118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37</w:t>
            </w:r>
          </w:p>
        </w:tc>
        <w:tc>
          <w:tcPr>
            <w:tcW w:w="108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5</w:t>
            </w:r>
          </w:p>
        </w:tc>
        <w:tc>
          <w:tcPr>
            <w:tcW w:w="102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245" w:type="dxa"/>
            <w:tcBorders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合计</w:t>
            </w:r>
          </w:p>
        </w:tc>
        <w:tc>
          <w:tcPr>
            <w:tcW w:w="1185" w:type="dxa"/>
            <w:tcBorders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151</w:t>
            </w:r>
          </w:p>
        </w:tc>
        <w:tc>
          <w:tcPr>
            <w:tcW w:w="1020" w:type="dxa"/>
            <w:tcBorders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18</w:t>
            </w:r>
          </w:p>
        </w:tc>
        <w:tc>
          <w:tcPr>
            <w:tcW w:w="1320" w:type="dxa"/>
            <w:tcBorders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52</w:t>
            </w:r>
          </w:p>
        </w:tc>
        <w:tc>
          <w:tcPr>
            <w:tcW w:w="1080" w:type="dxa"/>
            <w:tcBorders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20</w:t>
            </w:r>
          </w:p>
        </w:tc>
        <w:tc>
          <w:tcPr>
            <w:tcW w:w="1020" w:type="dxa"/>
            <w:tcBorders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61</w:t>
            </w:r>
          </w:p>
        </w:tc>
        <w:tc>
          <w:tcPr>
            <w:tcW w:w="2025" w:type="dxa"/>
            <w:tcBorders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="1"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302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47" w:line="288" w:lineRule="auto"/>
        <w:textAlignment w:val="auto"/>
        <w:rPr>
          <w:color w:val="auto"/>
          <w:sz w:val="21"/>
        </w:rPr>
      </w:pPr>
      <w:r>
        <w:rPr>
          <w:color w:val="auto"/>
          <w:sz w:val="21"/>
        </w:rPr>
        <w:t>注：技能培训安排在1-8学期进行；机动包括入学培训、社会实践、毕业考试等其他环节。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七、毕业与学位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0" w:firstLineChars="200"/>
        <w:textAlignment w:val="auto"/>
        <w:rPr>
          <w:color w:val="auto"/>
        </w:rPr>
      </w:pPr>
      <w:r>
        <w:rPr>
          <w:color w:val="auto"/>
        </w:rPr>
        <w:t>在学校规定修业年限内，修完全部必修课程并成绩合格，限选课程修满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highlight w:val="none"/>
          <w:lang w:val="en-US" w:eastAsia="zh-CN"/>
        </w:rPr>
        <w:t xml:space="preserve">16 </w:t>
      </w:r>
      <w:r>
        <w:rPr>
          <w:color w:val="auto"/>
          <w:highlight w:val="none"/>
        </w:rPr>
        <w:t>学</w:t>
      </w:r>
      <w:r>
        <w:rPr>
          <w:color w:val="auto"/>
        </w:rPr>
        <w:t>分，任选课修满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8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学分，通过毕业实习、社会实践、创新创业素质拓展等实践教学环节，总学分达</w:t>
      </w:r>
      <w:r>
        <w:rPr>
          <w:rFonts w:hint="eastAsia"/>
          <w:color w:val="auto"/>
          <w:lang w:val="en-US" w:eastAsia="zh-CN"/>
        </w:rPr>
        <w:t xml:space="preserve"> 258.5 </w:t>
      </w:r>
      <w:r>
        <w:rPr>
          <w:color w:val="auto"/>
        </w:rPr>
        <w:t>学分；通过综合考试（包括基础课综合考试、专业课综合考试和毕业综合考试）。符合《广西医科大学学生学籍管理规定》中的毕业条件的准予毕业，符合《广西医科大学授</w:t>
      </w:r>
      <w:r>
        <w:rPr>
          <w:rFonts w:hint="eastAsia"/>
          <w:color w:val="auto"/>
        </w:rPr>
        <w:t>予学士学位工作细则》学士学位条件的授予医学学士学位。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八、毕业去向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0" w:firstLineChars="200"/>
        <w:textAlignment w:val="auto"/>
        <w:rPr>
          <w:color w:val="auto"/>
        </w:rPr>
      </w:pPr>
      <w:r>
        <w:rPr>
          <w:color w:val="auto"/>
        </w:rPr>
        <w:t>六年制（英语授课）临床医学专业毕业生具有系统的医学基础理论和熟练的专业技能，可到来源国及西方发达国家各级医疗卫生、教育、医学研究等相关领域从事医疗、教学和科研工作；可继续攻读硕士研究生学位。</w:t>
      </w:r>
    </w:p>
    <w:p>
      <w:pPr>
        <w:pStyle w:val="6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教学进程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88" w:lineRule="auto"/>
        <w:ind w:leftChars="200"/>
        <w:textAlignment w:val="auto"/>
        <w:rPr>
          <w:rFonts w:hint="eastAsia"/>
          <w:b/>
          <w:bCs/>
          <w:color w:val="auto"/>
        </w:rPr>
      </w:pPr>
    </w:p>
    <w:p>
      <w:pPr>
        <w:pStyle w:val="6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before="0" w:line="288" w:lineRule="auto"/>
        <w:ind w:left="0" w:firstLine="482" w:firstLineChars="200"/>
        <w:textAlignment w:val="auto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六年制临床医学专业（全英授课）课程体系对培养要求指标点支撑矩阵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textAlignment w:val="auto"/>
        <w:rPr>
          <w:rFonts w:hint="eastAsia"/>
          <w:b/>
          <w:bCs/>
          <w:color w:val="auto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88" w:lineRule="auto"/>
        <w:textAlignment w:val="auto"/>
        <w:rPr>
          <w:rFonts w:hint="eastAsia"/>
          <w:b/>
          <w:bCs/>
          <w:color w:val="auto"/>
        </w:rPr>
        <w:sectPr>
          <w:footerReference r:id="rId3" w:type="default"/>
          <w:footerReference r:id="rId4" w:type="even"/>
          <w:pgSz w:w="11900" w:h="16840"/>
          <w:pgMar w:top="1440" w:right="1440" w:bottom="1440" w:left="1440" w:header="0" w:footer="499" w:gutter="0"/>
          <w:cols w:space="720" w:num="1"/>
        </w:sectPr>
      </w:pPr>
    </w:p>
    <w:tbl>
      <w:tblPr>
        <w:tblStyle w:val="13"/>
        <w:tblW w:w="15825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"/>
        <w:gridCol w:w="456"/>
        <w:gridCol w:w="517"/>
        <w:gridCol w:w="1868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7" w:type="dxa"/>
            <w:gridSpan w:val="2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六年制临床医学专业（全英授课）课程体系对培养要求指标点支撑矩阵图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课程模块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5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思想道德与职业素质方面</w:t>
            </w:r>
          </w:p>
        </w:tc>
        <w:tc>
          <w:tcPr>
            <w:tcW w:w="56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知识与技能方面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基础阶段必修课程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思想修养．人文素质．行为科学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汉语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医学汉语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中国概况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限选课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医学伦理学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医学心理学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生物医学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细胞生物学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系统解剖学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组织学与胚胎学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生理学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生物化学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医学免疫学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医学遗传学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医学微生物学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药理学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病理生理学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局部解剖学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人体寄生虫学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法医学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基础化学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医用物理学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高等数学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有机化学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公共卫生与 科研方法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医学统计学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流行病学与循证医学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社会医学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临床阶段必修课程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 床  医 学 课 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全科医学概论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诊断学(含实验诊断学)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外科学总论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内科学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传染病学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神经病学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儿科学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外科学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临床技能学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限选课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老年医学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口腔科学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耳鼻咽喉科学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精神病学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眼科学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皮肤性病学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肿瘤学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任选课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人文社会科学、素质教育通识课程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医学史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医学社会学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神经生物学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生物物理学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生物信息学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卫生事业管理学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老龄化与全球健康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健康教育与健康促进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妇幼与儿少卫生学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临床肿瘤学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物理治疗学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放射治疗学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临床药学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288" w:lineRule="auto"/>
        <w:ind w:left="0" w:leftChars="0" w:firstLine="0" w:firstLineChars="0"/>
        <w:textAlignment w:val="auto"/>
        <w:rPr>
          <w:rFonts w:eastAsia="黑体"/>
          <w:color w:val="auto"/>
          <w:sz w:val="16"/>
          <w:lang w:val="en-US"/>
        </w:rPr>
      </w:pPr>
      <w:bookmarkStart w:id="4" w:name="_bookmark9"/>
      <w:bookmarkEnd w:id="4"/>
    </w:p>
    <w:sectPr>
      <w:pgSz w:w="16840" w:h="11900" w:orient="landscape"/>
      <w:pgMar w:top="567" w:right="567" w:bottom="567" w:left="567" w:header="0" w:footer="49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ind w:left="0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31C511"/>
    <w:multiLevelType w:val="singleLevel"/>
    <w:tmpl w:val="DA31C511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F16B6E"/>
    <w:multiLevelType w:val="multilevel"/>
    <w:tmpl w:val="FAF16B6E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29548BC"/>
    <w:multiLevelType w:val="multilevel"/>
    <w:tmpl w:val="029548BC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AzYjMxM2NiY2U5ODc2MjQ0MDIzZjgwYjA4MDY1ZDkifQ=="/>
  </w:docVars>
  <w:rsids>
    <w:rsidRoot w:val="005C4E31"/>
    <w:rsid w:val="00173068"/>
    <w:rsid w:val="001A7C6A"/>
    <w:rsid w:val="001F7F7E"/>
    <w:rsid w:val="004306EE"/>
    <w:rsid w:val="005C4E31"/>
    <w:rsid w:val="00606DB8"/>
    <w:rsid w:val="007848BC"/>
    <w:rsid w:val="007B548E"/>
    <w:rsid w:val="00CD7725"/>
    <w:rsid w:val="00E47830"/>
    <w:rsid w:val="00EB538E"/>
    <w:rsid w:val="023B1F24"/>
    <w:rsid w:val="027A419F"/>
    <w:rsid w:val="02AA4005"/>
    <w:rsid w:val="04AE5CD0"/>
    <w:rsid w:val="04D17D22"/>
    <w:rsid w:val="054364BD"/>
    <w:rsid w:val="05C76B77"/>
    <w:rsid w:val="07642047"/>
    <w:rsid w:val="09472AA7"/>
    <w:rsid w:val="094A437A"/>
    <w:rsid w:val="0DA26AB7"/>
    <w:rsid w:val="0F6C7D5B"/>
    <w:rsid w:val="11A40DB1"/>
    <w:rsid w:val="1373422A"/>
    <w:rsid w:val="13DD5D2E"/>
    <w:rsid w:val="144C67D2"/>
    <w:rsid w:val="18DD6FC3"/>
    <w:rsid w:val="18FB3316"/>
    <w:rsid w:val="1A7016AA"/>
    <w:rsid w:val="1AF06347"/>
    <w:rsid w:val="1B09465D"/>
    <w:rsid w:val="1B316200"/>
    <w:rsid w:val="1B83626B"/>
    <w:rsid w:val="1D5B508A"/>
    <w:rsid w:val="1F3E7015"/>
    <w:rsid w:val="1FD45272"/>
    <w:rsid w:val="1FE30229"/>
    <w:rsid w:val="21FC350F"/>
    <w:rsid w:val="22682ACB"/>
    <w:rsid w:val="235C3345"/>
    <w:rsid w:val="24456785"/>
    <w:rsid w:val="24B41C08"/>
    <w:rsid w:val="269D59C3"/>
    <w:rsid w:val="28CA2E4B"/>
    <w:rsid w:val="29A62658"/>
    <w:rsid w:val="29FD6C2B"/>
    <w:rsid w:val="2AA902C1"/>
    <w:rsid w:val="2BDE4ED3"/>
    <w:rsid w:val="2E6E244C"/>
    <w:rsid w:val="2F572C17"/>
    <w:rsid w:val="2F690C30"/>
    <w:rsid w:val="2F897B3C"/>
    <w:rsid w:val="30FF0C3A"/>
    <w:rsid w:val="329C7B57"/>
    <w:rsid w:val="33896EE1"/>
    <w:rsid w:val="38AE3672"/>
    <w:rsid w:val="3ACB1C3A"/>
    <w:rsid w:val="3C1847D2"/>
    <w:rsid w:val="3D0228C2"/>
    <w:rsid w:val="3F7F373A"/>
    <w:rsid w:val="3FE62F46"/>
    <w:rsid w:val="40786884"/>
    <w:rsid w:val="444B1782"/>
    <w:rsid w:val="44650546"/>
    <w:rsid w:val="44732AFB"/>
    <w:rsid w:val="44A74975"/>
    <w:rsid w:val="453463BD"/>
    <w:rsid w:val="47AC3363"/>
    <w:rsid w:val="48013092"/>
    <w:rsid w:val="48712F45"/>
    <w:rsid w:val="4A2A5098"/>
    <w:rsid w:val="4A4060F4"/>
    <w:rsid w:val="4A5334F5"/>
    <w:rsid w:val="4A7F694B"/>
    <w:rsid w:val="4C8D6FAC"/>
    <w:rsid w:val="4CDA2572"/>
    <w:rsid w:val="4DC22D80"/>
    <w:rsid w:val="4DFE1003"/>
    <w:rsid w:val="4E4168DE"/>
    <w:rsid w:val="4E8C0B33"/>
    <w:rsid w:val="4F3944DB"/>
    <w:rsid w:val="4FE64155"/>
    <w:rsid w:val="4FF81E11"/>
    <w:rsid w:val="50493828"/>
    <w:rsid w:val="50923421"/>
    <w:rsid w:val="528B2534"/>
    <w:rsid w:val="532B4DA8"/>
    <w:rsid w:val="56BB275F"/>
    <w:rsid w:val="56CC226B"/>
    <w:rsid w:val="572D5C52"/>
    <w:rsid w:val="57FE78C9"/>
    <w:rsid w:val="59D12179"/>
    <w:rsid w:val="5D3C099D"/>
    <w:rsid w:val="5E8C508E"/>
    <w:rsid w:val="5F8F6B6E"/>
    <w:rsid w:val="608F71CD"/>
    <w:rsid w:val="60C211B9"/>
    <w:rsid w:val="617422C7"/>
    <w:rsid w:val="62B611F1"/>
    <w:rsid w:val="62F13FD7"/>
    <w:rsid w:val="651B2838"/>
    <w:rsid w:val="652E68CB"/>
    <w:rsid w:val="65D521FE"/>
    <w:rsid w:val="65E074EE"/>
    <w:rsid w:val="6769598F"/>
    <w:rsid w:val="69C83EE3"/>
    <w:rsid w:val="6C984D1C"/>
    <w:rsid w:val="6D4751F4"/>
    <w:rsid w:val="6E4A0A40"/>
    <w:rsid w:val="6F1243D6"/>
    <w:rsid w:val="70C311BE"/>
    <w:rsid w:val="71F70190"/>
    <w:rsid w:val="738535D5"/>
    <w:rsid w:val="73DF31E8"/>
    <w:rsid w:val="758331B5"/>
    <w:rsid w:val="784F3822"/>
    <w:rsid w:val="78D92BEB"/>
    <w:rsid w:val="78FD6EEC"/>
    <w:rsid w:val="79D60CE3"/>
    <w:rsid w:val="79E078DE"/>
    <w:rsid w:val="7AD4000F"/>
    <w:rsid w:val="7B3804CF"/>
    <w:rsid w:val="7DC600E3"/>
    <w:rsid w:val="7E852105"/>
    <w:rsid w:val="7F1D01D6"/>
    <w:rsid w:val="7F69278B"/>
    <w:rsid w:val="7F9E41F4"/>
    <w:rsid w:val="7FCD3F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1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8"/>
      <w:ind w:left="1355" w:right="1355"/>
      <w:jc w:val="center"/>
      <w:outlineLvl w:val="0"/>
    </w:pPr>
    <w:rPr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766" w:right="1777"/>
      <w:jc w:val="center"/>
      <w:outlineLvl w:val="1"/>
    </w:pPr>
    <w:rPr>
      <w:b/>
      <w:bCs/>
      <w:sz w:val="30"/>
      <w:szCs w:val="30"/>
    </w:rPr>
  </w:style>
  <w:style w:type="paragraph" w:styleId="4">
    <w:name w:val="heading 3"/>
    <w:basedOn w:val="1"/>
    <w:next w:val="1"/>
    <w:qFormat/>
    <w:uiPriority w:val="1"/>
    <w:pPr>
      <w:ind w:left="115"/>
      <w:jc w:val="both"/>
      <w:outlineLvl w:val="2"/>
    </w:pPr>
    <w:rPr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qFormat/>
    <w:uiPriority w:val="1"/>
    <w:pPr>
      <w:spacing w:before="53"/>
      <w:ind w:left="598"/>
    </w:pPr>
    <w:rPr>
      <w:sz w:val="24"/>
      <w:szCs w:val="24"/>
    </w:rPr>
  </w:style>
  <w:style w:type="paragraph" w:styleId="7">
    <w:name w:val="Balloon Text"/>
    <w:basedOn w:val="1"/>
    <w:link w:val="19"/>
    <w:qFormat/>
    <w:uiPriority w:val="0"/>
    <w:rPr>
      <w:sz w:val="18"/>
      <w:szCs w:val="18"/>
    </w:rPr>
  </w:style>
  <w:style w:type="paragraph" w:styleId="8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1"/>
    <w:pPr>
      <w:spacing w:before="293"/>
      <w:ind w:left="118"/>
    </w:pPr>
    <w:rPr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Body Text First Indent"/>
    <w:basedOn w:val="6"/>
    <w:qFormat/>
    <w:uiPriority w:val="99"/>
    <w:pPr>
      <w:ind w:firstLine="420" w:firstLineChars="100"/>
    </w:pPr>
  </w:style>
  <w:style w:type="character" w:styleId="15">
    <w:name w:val="Strong"/>
    <w:qFormat/>
    <w:uiPriority w:val="99"/>
    <w:rPr>
      <w:rFonts w:cs="Times New Roman"/>
      <w:b/>
      <w:bCs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53"/>
      <w:ind w:left="118" w:firstLine="480"/>
    </w:pPr>
  </w:style>
  <w:style w:type="paragraph" w:customStyle="1" w:styleId="18">
    <w:name w:val="Table Paragraph"/>
    <w:basedOn w:val="1"/>
    <w:qFormat/>
    <w:uiPriority w:val="1"/>
  </w:style>
  <w:style w:type="character" w:customStyle="1" w:styleId="19">
    <w:name w:val="批注框文本 字符"/>
    <w:basedOn w:val="14"/>
    <w:link w:val="7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20">
    <w:name w:val="页眉 字符"/>
    <w:basedOn w:val="14"/>
    <w:link w:val="9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21">
    <w:name w:val="页脚 字符"/>
    <w:basedOn w:val="14"/>
    <w:link w:val="8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paragraph" w:customStyle="1" w:styleId="22">
    <w:name w:val="Revision"/>
    <w:hidden/>
    <w:unhideWhenUsed/>
    <w:qFormat/>
    <w:uiPriority w:val="99"/>
    <w:rPr>
      <w:rFonts w:ascii="宋体" w:hAnsi="宋体" w:eastAsia="宋体" w:cs="宋体"/>
      <w:sz w:val="22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2993</Words>
  <Characters>3139</Characters>
  <Lines>18</Lines>
  <Paragraphs>5</Paragraphs>
  <TotalTime>10</TotalTime>
  <ScaleCrop>false</ScaleCrop>
  <LinksUpToDate>false</LinksUpToDate>
  <CharactersWithSpaces>3197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2022-10-19T08:10:00Z</dcterms:created>
  <dc:creator>star</dc:creator>
  <cp:lastModifiedBy>六月初</cp:lastModifiedBy>
  <dcterms:modified xsi:type="dcterms:W3CDTF">2023-06-27T03:13:34Z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适用于 Microsoft 365</vt:lpwstr>
  </property>
  <property fmtid="{D5CDD505-2E9C-101B-9397-08002B2CF9AE}" pid="4" name="LastSaved">
    <vt:filetime>2022-10-19T00:00:00Z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4375A2E75D394242B6CF154728C96927</vt:lpwstr>
  </property>
</Properties>
</file>