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五年制临床医学专业（农村订单定向免费医学生）人才培养方案</w:t>
      </w:r>
    </w:p>
    <w:p>
      <w:pPr>
        <w:pStyle w:val="8"/>
        <w:spacing w:before="0" w:beforeAutospacing="0" w:after="0" w:afterAutospacing="0"/>
      </w:pPr>
      <w:r>
        <w:rPr>
          <w:rStyle w:val="12"/>
        </w:rPr>
        <w:t xml:space="preserve">一、培养目标 </w:t>
      </w:r>
    </w:p>
    <w:p>
      <w:pPr>
        <w:pStyle w:val="8"/>
        <w:spacing w:before="0" w:beforeAutospacing="0" w:after="0" w:afterAutospacing="0"/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培养德智体美劳全面发展，具有良好思想道德和职业素质，掌握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生物医学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临床医学的基本知识、理论和技能，具有一定公共卫生和预防医学知识、人文社会科学和自然科学知识，在上级医师指导下，能够从事安全有效的医疗实践，初步具备基层医疗卫生服务能力、创新精神、批判性思维、终身学习能力、团队合作意识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医学毕业生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spacing w:before="0" w:beforeAutospacing="0" w:after="0" w:afterAutospacing="0"/>
        <w:rPr>
          <w:rStyle w:val="12"/>
        </w:rPr>
      </w:pPr>
      <w:r>
        <w:rPr>
          <w:rStyle w:val="12"/>
        </w:rPr>
        <w:t>二、</w:t>
      </w:r>
      <w:r>
        <w:rPr>
          <w:rStyle w:val="12"/>
          <w:rFonts w:hint="eastAsia"/>
        </w:rPr>
        <w:t>培养</w:t>
      </w:r>
      <w:r>
        <w:rPr>
          <w:rStyle w:val="12"/>
        </w:rPr>
        <w:t>要求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（一）科学和学术领域</w:t>
      </w:r>
    </w:p>
    <w:p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具备自然科学、人文社会科学、医学等学科的基础知识，掌握科学伦理及研究方法、把握事物发展规律，并能用于指导未来的学习和医学实践。</w:t>
      </w:r>
    </w:p>
    <w:p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能够始终把人民群众生命安全和健康放在首位，应用医学等科学知识依法处理个体、群体和卫生系统中的问题。</w:t>
      </w:r>
    </w:p>
    <w:p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能够描述生命各阶段疾病的病因、发病机制、自然病程、临床表现、诊断、治疗以及预后。</w:t>
      </w:r>
    </w:p>
    <w:p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能够依法获取、甄别、理解并应用医学等科学文献中的证据。</w:t>
      </w:r>
    </w:p>
    <w:p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能够掌握中国传统医学的基本特点和诊疗基本原则。</w:t>
      </w:r>
    </w:p>
    <w:p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能够正确认识问题、分析问题，具备勇于探索创新的精神，应用常用的科学方法探讨及解决问题。</w:t>
      </w:r>
    </w:p>
    <w:p>
      <w:pPr>
        <w:ind w:firstLine="480" w:firstLineChars="200"/>
        <w:rPr>
          <w:rFonts w:ascii="宋体" w:hAnsi="宋体"/>
          <w:b/>
          <w:bCs/>
          <w:color w:val="FF0000"/>
          <w:sz w:val="24"/>
        </w:rPr>
      </w:pPr>
      <w:r>
        <w:rPr>
          <w:rFonts w:hint="eastAsia" w:ascii="宋体" w:hAnsi="宋体"/>
          <w:sz w:val="24"/>
        </w:rPr>
        <w:t>（二）临床能力领域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具备良好的交流沟通能力，尊重患者及其家属、同行和其他卫生专业人员等并进行有效的交流。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能够全面、系统、正确地采集病史。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能够系统、规范地进行体格检查及精神状态评价，规范地书写病历。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能够依据病史和体格检查中的发现，形成初步判断，并进行鉴别诊断，提出合理的治疗原则。</w:t>
      </w:r>
    </w:p>
    <w:p>
      <w:pPr>
        <w:numPr>
          <w:ilvl w:val="0"/>
          <w:numId w:val="2"/>
        </w:numP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能够根据患者的病情、安全和成本效益等因素，选择适宜的临床检查方法并能说明其合理性，对检查结果能做出判断和解释。</w:t>
      </w:r>
    </w:p>
    <w:p>
      <w:pPr>
        <w:numPr>
          <w:ilvl w:val="0"/>
          <w:numId w:val="2"/>
        </w:numP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能够选择并安全地实施各种常见的临床基本操作。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能够根据不断获取的证据做出临床判断和决策，在上级医生指导下确定进一步的诊疗方案并说明其合理性。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能够了解患者的问题、意见、关注点和偏好，使患者及其家属充分理解病情；努力同患者及其家属共同制订诊疗计划，并就诊疗方案的风险和益处进行沟通，促进良好的医患关系。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能够及时向患者及其家属</w:t>
      </w:r>
      <w:r>
        <w:rPr>
          <w:rFonts w:ascii="宋体" w:hAnsi="宋体"/>
          <w:sz w:val="24"/>
        </w:rPr>
        <w:t>/</w:t>
      </w:r>
      <w:r>
        <w:rPr>
          <w:rFonts w:hint="eastAsia" w:ascii="宋体" w:hAnsi="宋体"/>
          <w:sz w:val="24"/>
        </w:rPr>
        <w:t>监护人提供相关信息，使他们在充分知情的前提下选择诊疗方案。</w:t>
      </w:r>
    </w:p>
    <w:p>
      <w:pPr>
        <w:numPr>
          <w:ilvl w:val="0"/>
          <w:numId w:val="2"/>
        </w:numP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能够掌握全科医学基本理论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基本知识与技能，初步形成全科医学的基本理念和思维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/>
          <w:sz w:val="24"/>
        </w:rPr>
        <w:t>能够将疾病预防、早期发现、卫生保健和慢性疾病管理等知识和理念结合到临床实践中。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能够依据客观证据，提出合法、安全、有效、经济的治疗方案。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能够发现并评价病情程度及变化，对需要紧急处理的患者进行合法的急救处理。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能够掌握临终患者的治疗原则，沟通患者家属或监护人，避免不必要的检查或治疗。用对症、心理支持等姑息治疗的方法来达到人道主义的目的，提高舒适度并使患者获得应有的尊严。</w:t>
      </w:r>
    </w:p>
    <w:p>
      <w:pPr>
        <w:numPr>
          <w:ilvl w:val="0"/>
          <w:numId w:val="2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能够在临床数据系统中有效地检索、解读和记录信息。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（三）健康与社会领域</w:t>
      </w:r>
    </w:p>
    <w:p>
      <w:pPr>
        <w:numPr>
          <w:ilvl w:val="0"/>
          <w:numId w:val="3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具有保护并促进个体和人群健康的责任意识。</w:t>
      </w:r>
    </w:p>
    <w:p>
      <w:pPr>
        <w:numPr>
          <w:ilvl w:val="0"/>
          <w:numId w:val="3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形成“大健康”观，能够了解影响人群健康、疾病和有效治疗的因素，包括健康不公平和不平等的相关问题，文化、精神和社会价值观的多样化，以及社会经济、心理状态和自然环境因素。</w:t>
      </w:r>
    </w:p>
    <w:p>
      <w:pPr>
        <w:numPr>
          <w:ilvl w:val="0"/>
          <w:numId w:val="3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能够以不同的角色进行有效沟通，如开展健康教育等。</w:t>
      </w:r>
    </w:p>
    <w:p>
      <w:pPr>
        <w:numPr>
          <w:ilvl w:val="0"/>
          <w:numId w:val="3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解释和评估人群的健康检查和预防措施，包括人群健康状况的监测、患者随访、用药、康复治疗及其他方面的指导等，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初步具备基层全科医生及家庭医生团队骨干的服务和管理能力</w:t>
      </w:r>
    </w:p>
    <w:p>
      <w:pPr>
        <w:numPr>
          <w:ilvl w:val="0"/>
          <w:numId w:val="3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能够了解医院医疗质量保障和医疗安全管理体系，明确自己的业务能力与权限，重视患者安全，及时识别对患者不利的危险因素。</w:t>
      </w:r>
    </w:p>
    <w:p>
      <w:pPr>
        <w:numPr>
          <w:ilvl w:val="0"/>
          <w:numId w:val="3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能够了解我国医疗卫生系统的结构和功能，以及各组成部门的职能和相互关系，理解合理分配有限资源的原则，以满足个人、群体和国家的健康需求。</w:t>
      </w:r>
    </w:p>
    <w:p>
      <w:pPr>
        <w:numPr>
          <w:ilvl w:val="0"/>
          <w:numId w:val="3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能够理解全球健康问题以及健康和疾病的决定因素，具备一定依法应对重大突发公共卫生事件的能力，做党和人民信赖的好医生。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（四）职业素养领域</w:t>
      </w:r>
    </w:p>
    <w:p>
      <w:pPr>
        <w:numPr>
          <w:ilvl w:val="0"/>
          <w:numId w:val="4"/>
        </w:numPr>
        <w:spacing w:line="264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能够对党的创新理论有政治认同、思想认同、情感认同，能坚定中国特色社会主义道路自信、理论自信、制度自信、文化自信。</w:t>
      </w:r>
      <w:r>
        <w:rPr>
          <w:rFonts w:ascii="宋体" w:hAnsi="宋体"/>
          <w:sz w:val="24"/>
        </w:rPr>
        <w:t xml:space="preserve"> </w:t>
      </w:r>
    </w:p>
    <w:p>
      <w:pPr>
        <w:numPr>
          <w:ilvl w:val="0"/>
          <w:numId w:val="4"/>
        </w:numPr>
        <w:spacing w:line="264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能够根据《中国医师道德准则》为所有患者提供人道主义的医疗服务，具备医者仁心的良好医德医风，具有“</w:t>
      </w:r>
      <w:r>
        <w:rPr>
          <w:rFonts w:hint="eastAsia"/>
          <w:sz w:val="24"/>
        </w:rPr>
        <w:t>敬佑生命、救死扶伤、甘于奉献、大爱无疆</w:t>
      </w:r>
      <w:r>
        <w:rPr>
          <w:rFonts w:hint="eastAsia" w:ascii="宋体" w:hAnsi="宋体"/>
          <w:sz w:val="24"/>
        </w:rPr>
        <w:t>”的医者精神。</w:t>
      </w:r>
      <w:r>
        <w:rPr>
          <w:rFonts w:ascii="宋体" w:hAnsi="宋体"/>
          <w:sz w:val="24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能够了解医疗卫生领域职业精神的内涵，在工作中养成同理心、尊重患者和提供优质服务等行为，树立真诚、正直、团队合作和领导力等素养。</w:t>
      </w:r>
      <w:r>
        <w:rPr>
          <w:rFonts w:ascii="宋体" w:hAnsi="宋体"/>
          <w:sz w:val="24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能够掌握医学伦理学的主要原理，并将其应用于医疗服务中。能够与患者及其家属、同行和其他卫生专业人员等有效地沟通伦理问题。</w:t>
      </w:r>
      <w:r>
        <w:rPr>
          <w:rFonts w:ascii="宋体" w:hAnsi="宋体"/>
          <w:sz w:val="24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能够了解影响医生健康的因素，如疲劳、压力和交叉感染等，并注意在医疗服务中有意识地控制这些因素，同时知晓自身健康对患者可能构成的风险。</w:t>
      </w:r>
      <w:r>
        <w:rPr>
          <w:rFonts w:ascii="宋体" w:hAnsi="宋体"/>
          <w:sz w:val="24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能够了解并遵守医疗行业的基本法律法规和职业道德，具备遵纪守法、爱岗敬业、无私奉献、诚实守信、开拓创新的职业品格和行为习惯。</w:t>
      </w:r>
      <w:r>
        <w:rPr>
          <w:rFonts w:ascii="宋体" w:hAnsi="宋体"/>
          <w:sz w:val="24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能够意识到自己专业知识的局限性，尊重其他卫生从业人员，并注重相互合作和学习。</w:t>
      </w:r>
      <w:r>
        <w:rPr>
          <w:rFonts w:ascii="宋体" w:hAnsi="宋体"/>
          <w:sz w:val="24"/>
        </w:rPr>
        <w:t xml:space="preserve"> </w:t>
      </w:r>
    </w:p>
    <w:p>
      <w:pPr>
        <w:numPr>
          <w:ilvl w:val="0"/>
          <w:numId w:val="4"/>
        </w:num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树立自主学习、终身学习的观念，认识到持续自我完善的重要性，不断追求卓越。</w:t>
      </w:r>
    </w:p>
    <w:p>
      <w:pPr>
        <w:pStyle w:val="8"/>
        <w:spacing w:before="0" w:beforeAutospacing="0" w:after="0" w:afterAutospacing="0"/>
      </w:pPr>
      <w:r>
        <w:rPr>
          <w:b/>
          <w:bCs/>
        </w:rPr>
        <w:t>三、</w:t>
      </w:r>
      <w:r>
        <w:rPr>
          <w:rFonts w:hint="eastAsia"/>
          <w:b/>
          <w:bCs/>
        </w:rPr>
        <w:t>课程体系和主要课程</w:t>
      </w:r>
      <w:r>
        <w:rPr>
          <w:b/>
          <w:bCs/>
        </w:rPr>
        <w:t xml:space="preserve"> 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（一）课程体系：人文社会科学、自然科学、生物医学、公共卫生、临床医学。</w:t>
      </w:r>
    </w:p>
    <w:p>
      <w:pPr>
        <w:pStyle w:val="8"/>
        <w:spacing w:before="0" w:beforeAutospacing="0" w:after="0" w:afterAutospacing="0" w:line="264" w:lineRule="auto"/>
        <w:ind w:firstLine="480" w:firstLineChars="200"/>
        <w:jc w:val="both"/>
      </w:pPr>
      <w:r>
        <w:rPr>
          <w:rFonts w:hint="eastAsia"/>
        </w:rPr>
        <w:t>（二）主要课程：军事理论、体育、英语、大学生安全教育、劳动教育、创业基础、大学生职业发展与就业指导、大学生心理健康教育、思想道德与法治、中国近现代史纲要、马克思主义基本原理、毛泽东思想和中国特色社会主义理论体系概论、习近平新时代中国特色社会主义思想概述、卫生法学、医患沟通学、细胞生物学、组织学与胚胎学、解剖学、生理学、生物化学与分子生物学、医学免疫学、医学微生物学、病理学、医学遗传学、机能实验学、病理生理学、药理学、人体寄生虫学、医学信息检索与利用、社区医学(含医学统计学、流行病学、预防医学等)、全科医学概论、临床技能学、诊断学、外科学总论、内科学、外科学、妇产科学、儿科学、神经病学、传染病学、口腔科学、耳鼻咽喉科学、眼科学、皮肤性病学、麻醉学、急诊医学、老年医学、康复医学、精神病学、医学影像学、超声诊断学、核医学、中医学。</w:t>
      </w:r>
    </w:p>
    <w:p>
      <w:pPr>
        <w:pStyle w:val="8"/>
        <w:spacing w:before="0" w:beforeAutospacing="0" w:after="0" w:afterAutospacing="0"/>
        <w:rPr>
          <w:b/>
        </w:rPr>
      </w:pPr>
      <w:r>
        <w:rPr>
          <w:rFonts w:hint="eastAsia"/>
          <w:b/>
        </w:rPr>
        <w:t>四、主要实践教学环节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（一）军事训练2周，计2学分。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（二）技能培训，安排在第</w:t>
      </w:r>
      <w:r>
        <w:t>1</w:t>
      </w:r>
      <w:r>
        <w:rPr>
          <w:rFonts w:hint="eastAsia"/>
        </w:rPr>
        <w:t>～</w:t>
      </w:r>
      <w:r>
        <w:t>8</w:t>
      </w:r>
      <w:r>
        <w:rPr>
          <w:rFonts w:hint="eastAsia"/>
        </w:rPr>
        <w:t>学期156学时，计</w:t>
      </w:r>
      <w:r>
        <w:t>5</w:t>
      </w:r>
      <w:r>
        <w:rPr>
          <w:rFonts w:hint="eastAsia"/>
        </w:rPr>
        <w:t>学分。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（三）社会实践2周，计2学分。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（四）创新创业素质拓展，3学分。</w:t>
      </w:r>
    </w:p>
    <w:p>
      <w:pPr>
        <w:pStyle w:val="8"/>
        <w:spacing w:before="0" w:beforeAutospacing="0" w:after="0" w:afterAutospacing="0"/>
        <w:ind w:firstLine="480" w:firstLineChars="200"/>
      </w:pPr>
      <w:r>
        <w:t>1.</w:t>
      </w:r>
      <w:r>
        <w:rPr>
          <w:rFonts w:hint="eastAsia"/>
        </w:rPr>
        <w:t>主持并完成“大学生创新创业训练计划项目”或“未来学术之星”等科研项目的，每项3学分；参与以上项目的，每项1.5学分；</w:t>
      </w:r>
    </w:p>
    <w:p>
      <w:pPr>
        <w:pStyle w:val="8"/>
        <w:spacing w:before="0" w:beforeAutospacing="0" w:after="0" w:afterAutospacing="0"/>
        <w:ind w:firstLine="480" w:firstLineChars="200"/>
      </w:pPr>
      <w:r>
        <w:t>2.</w:t>
      </w:r>
      <w:r>
        <w:rPr>
          <w:rFonts w:hint="eastAsia"/>
        </w:rPr>
        <w:t>主持“互联网+”大学生创新创业大赛项目，报名成功并进入校级比赛的，每项3学分；参与该项目的，每项1.5学分；</w:t>
      </w:r>
    </w:p>
    <w:p>
      <w:pPr>
        <w:pStyle w:val="8"/>
        <w:spacing w:before="0" w:beforeAutospacing="0" w:after="0" w:afterAutospacing="0"/>
        <w:ind w:firstLine="480" w:firstLineChars="200"/>
      </w:pPr>
      <w:r>
        <w:t>3.</w:t>
      </w:r>
      <w:r>
        <w:rPr>
          <w:rFonts w:hint="eastAsia"/>
        </w:rPr>
        <w:t>符合《广西医科大学本科生课外素质教育奖励学分实施管理办法（2017年9月修订）》（桂医大教〔2017〕69号）文件</w:t>
      </w:r>
      <w:r>
        <w:t>中</w:t>
      </w:r>
      <w:r>
        <w:rPr>
          <w:rFonts w:hint="eastAsia"/>
        </w:rPr>
        <w:t>学分奖励条件，获得的奖励学分可作为创新创业素质拓展学分（文件中第三类别：创新创业训练奖励学分除外）。</w:t>
      </w:r>
    </w:p>
    <w:p>
      <w:pPr>
        <w:pStyle w:val="8"/>
        <w:spacing w:before="0" w:beforeAutospacing="0" w:after="0" w:afterAutospacing="0"/>
        <w:ind w:firstLine="480" w:firstLineChars="200"/>
      </w:pPr>
      <w:r>
        <w:rPr>
          <w:rFonts w:hint="eastAsia"/>
        </w:rPr>
        <w:t>（五）毕业实习</w:t>
      </w:r>
      <w:r>
        <w:t>52</w:t>
      </w:r>
      <w:r>
        <w:rPr>
          <w:rFonts w:hint="eastAsia"/>
        </w:rPr>
        <w:t>周，安排在第</w:t>
      </w:r>
      <w:r>
        <w:t>8</w:t>
      </w:r>
      <w:r>
        <w:rPr>
          <w:rFonts w:hint="eastAsia"/>
        </w:rPr>
        <w:t>～10学期，计</w:t>
      </w:r>
      <w:r>
        <w:t>50</w:t>
      </w:r>
      <w:r>
        <w:rPr>
          <w:rFonts w:hint="eastAsia"/>
        </w:rPr>
        <w:t>学分</w:t>
      </w:r>
    </w:p>
    <w:p>
      <w:pPr>
        <w:pStyle w:val="8"/>
        <w:spacing w:before="0" w:beforeAutospacing="0" w:after="0" w:afterAutospacing="0"/>
        <w:rPr>
          <w:rStyle w:val="12"/>
        </w:rPr>
      </w:pPr>
      <w:r>
        <w:rPr>
          <w:rStyle w:val="12"/>
          <w:rFonts w:hint="eastAsia"/>
        </w:rPr>
        <w:t>五</w:t>
      </w:r>
      <w:r>
        <w:rPr>
          <w:rStyle w:val="12"/>
        </w:rPr>
        <w:t>、课程设置</w:t>
      </w:r>
    </w:p>
    <w:p>
      <w:pPr>
        <w:pStyle w:val="8"/>
        <w:spacing w:before="0" w:beforeAutospacing="0" w:after="0" w:afterAutospacing="0"/>
        <w:ind w:firstLine="352" w:firstLineChars="147"/>
        <w:rPr>
          <w:rStyle w:val="12"/>
          <w:b w:val="0"/>
        </w:rPr>
      </w:pPr>
      <w:r>
        <w:rPr>
          <w:rStyle w:val="12"/>
          <w:rFonts w:hint="eastAsia"/>
          <w:b w:val="0"/>
        </w:rPr>
        <w:t xml:space="preserve"> （一）必修课程：共</w:t>
      </w:r>
      <w:r>
        <w:rPr>
          <w:rStyle w:val="12"/>
          <w:b w:val="0"/>
        </w:rPr>
        <w:t>54</w:t>
      </w:r>
      <w:r>
        <w:rPr>
          <w:rStyle w:val="12"/>
          <w:rFonts w:hint="eastAsia"/>
          <w:b w:val="0"/>
        </w:rPr>
        <w:t>门、</w:t>
      </w:r>
      <w:r>
        <w:rPr>
          <w:rStyle w:val="12"/>
          <w:b w:val="0"/>
        </w:rPr>
        <w:t>3490</w:t>
      </w:r>
      <w:r>
        <w:rPr>
          <w:rStyle w:val="12"/>
          <w:rFonts w:hint="eastAsia"/>
          <w:b w:val="0"/>
        </w:rPr>
        <w:t>学时、</w:t>
      </w:r>
      <w:r>
        <w:rPr>
          <w:rStyle w:val="12"/>
          <w:b w:val="0"/>
        </w:rPr>
        <w:t>172</w:t>
      </w:r>
      <w:r>
        <w:rPr>
          <w:rStyle w:val="12"/>
          <w:rFonts w:hint="eastAsia"/>
          <w:b w:val="0"/>
        </w:rPr>
        <w:t>学分</w:t>
      </w:r>
      <w:r>
        <w:rPr>
          <w:rStyle w:val="12"/>
          <w:rFonts w:hint="eastAsia" w:cs="宋体"/>
          <w:b w:val="0"/>
        </w:rPr>
        <w:t>，</w:t>
      </w:r>
      <w:r>
        <w:rPr>
          <w:rFonts w:hint="eastAsia"/>
        </w:rPr>
        <w:t>详见教学进程表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</w:rPr>
      </w:pPr>
      <w:r>
        <w:rPr>
          <w:rStyle w:val="12"/>
          <w:rFonts w:hint="eastAsia"/>
          <w:b w:val="0"/>
        </w:rPr>
        <w:t>（二）限选课程：</w:t>
      </w:r>
      <w:r>
        <w:rPr>
          <w:rStyle w:val="12"/>
          <w:b w:val="0"/>
        </w:rPr>
        <w:t>7</w:t>
      </w:r>
      <w:r>
        <w:rPr>
          <w:rStyle w:val="12"/>
          <w:rFonts w:hint="eastAsia"/>
          <w:b w:val="0"/>
        </w:rPr>
        <w:t>门，修读</w:t>
      </w:r>
      <w:r>
        <w:rPr>
          <w:rStyle w:val="12"/>
          <w:b w:val="0"/>
        </w:rPr>
        <w:t>10</w:t>
      </w:r>
      <w:r>
        <w:rPr>
          <w:rStyle w:val="12"/>
          <w:rFonts w:hint="eastAsia"/>
          <w:b w:val="0"/>
        </w:rPr>
        <w:t>学分。</w:t>
      </w:r>
    </w:p>
    <w:p>
      <w:pPr>
        <w:pStyle w:val="8"/>
        <w:spacing w:before="0" w:beforeAutospacing="0" w:after="0" w:afterAutospacing="0"/>
        <w:ind w:firstLine="480"/>
        <w:rPr>
          <w:rStyle w:val="12"/>
          <w:b w:val="0"/>
        </w:rPr>
      </w:pPr>
      <w:r>
        <w:rPr>
          <w:rStyle w:val="12"/>
          <w:rFonts w:hint="eastAsia"/>
          <w:b w:val="0"/>
        </w:rPr>
        <w:t>（三）任选课：</w:t>
      </w:r>
      <w:r>
        <w:rPr>
          <w:rStyle w:val="12"/>
          <w:b w:val="0"/>
        </w:rPr>
        <w:t>20</w:t>
      </w:r>
      <w:r>
        <w:rPr>
          <w:rStyle w:val="12"/>
          <w:rFonts w:hint="eastAsia"/>
          <w:b w:val="0"/>
        </w:rPr>
        <w:t>学分</w:t>
      </w:r>
    </w:p>
    <w:p>
      <w:pPr>
        <w:pStyle w:val="8"/>
        <w:spacing w:before="0" w:beforeAutospacing="0" w:after="0" w:afterAutospacing="0"/>
        <w:ind w:firstLine="480"/>
        <w:jc w:val="both"/>
        <w:rPr>
          <w:rStyle w:val="12"/>
          <w:b w:val="0"/>
        </w:rPr>
      </w:pPr>
      <w:r>
        <w:rPr>
          <w:rFonts w:hint="eastAsia"/>
        </w:rPr>
        <w:t>公共艺术类课程须修读2学分及以上。</w:t>
      </w:r>
      <w:r>
        <w:t>参加</w:t>
      </w:r>
      <w:r>
        <w:rPr>
          <w:rFonts w:hint="eastAsia"/>
        </w:rPr>
        <w:t>《</w:t>
      </w:r>
      <w:r>
        <w:t>普通话</w:t>
      </w:r>
      <w:r>
        <w:rPr>
          <w:rFonts w:hint="eastAsia"/>
        </w:rPr>
        <w:t>》任选</w:t>
      </w:r>
      <w:r>
        <w:t>课学习并通过考试或自行参加普通话水平测试分数达二级乙等（80分）及以上</w:t>
      </w:r>
      <w:r>
        <w:rPr>
          <w:rFonts w:hint="eastAsia"/>
        </w:rPr>
        <w:t>，可</w:t>
      </w:r>
      <w:r>
        <w:t>计</w:t>
      </w:r>
      <w:r>
        <w:rPr>
          <w:rFonts w:hint="eastAsia"/>
        </w:rPr>
        <w:t>1学分；</w:t>
      </w:r>
      <w:r>
        <w:rPr>
          <w:rStyle w:val="12"/>
          <w:rFonts w:hint="eastAsia"/>
          <w:b w:val="0"/>
        </w:rPr>
        <w:t>根据《广西医科大学本科生课外素质教育奖励学分管理办法》，奖励学分可作为任选课学分记载，但不得超过任选课学分的50%。</w:t>
      </w:r>
    </w:p>
    <w:p>
      <w:pPr>
        <w:pStyle w:val="8"/>
        <w:spacing w:before="0" w:beforeAutospacing="0" w:after="0" w:afterAutospacing="0"/>
        <w:ind w:firstLine="352" w:firstLineChars="147"/>
        <w:rPr>
          <w:rStyle w:val="12"/>
          <w:b w:val="0"/>
        </w:rPr>
      </w:pPr>
      <w:r>
        <w:rPr>
          <w:rFonts w:hint="eastAsia"/>
        </w:rPr>
        <w:t xml:space="preserve"> （四）</w:t>
      </w:r>
      <w:r>
        <w:rPr>
          <w:rStyle w:val="12"/>
          <w:rFonts w:hint="eastAsia"/>
          <w:b w:val="0"/>
        </w:rPr>
        <w:t>毕业实习（</w:t>
      </w:r>
      <w:r>
        <w:rPr>
          <w:rStyle w:val="12"/>
          <w:b w:val="0"/>
        </w:rPr>
        <w:t>50</w:t>
      </w:r>
      <w:r>
        <w:rPr>
          <w:rStyle w:val="12"/>
          <w:rFonts w:hint="eastAsia"/>
          <w:b w:val="0"/>
        </w:rPr>
        <w:t>周，</w:t>
      </w:r>
      <w:r>
        <w:rPr>
          <w:rStyle w:val="12"/>
          <w:b w:val="0"/>
        </w:rPr>
        <w:t>48</w:t>
      </w:r>
      <w:r>
        <w:rPr>
          <w:rStyle w:val="12"/>
          <w:rFonts w:hint="eastAsia"/>
          <w:b w:val="0"/>
        </w:rPr>
        <w:t>学分）</w:t>
      </w:r>
      <w:r>
        <w:rPr>
          <w:rStyle w:val="12"/>
          <w:b w:val="0"/>
        </w:rPr>
        <w:t xml:space="preserve"> 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</w:rPr>
      </w:pPr>
      <w:r>
        <w:rPr>
          <w:rStyle w:val="12"/>
          <w:rFonts w:hint="eastAsia"/>
          <w:b w:val="0"/>
        </w:rPr>
        <w:t>1．必修实习科目（共</w:t>
      </w:r>
      <w:r>
        <w:rPr>
          <w:rStyle w:val="12"/>
          <w:b w:val="0"/>
        </w:rPr>
        <w:t>9</w:t>
      </w:r>
      <w:r>
        <w:rPr>
          <w:rStyle w:val="12"/>
          <w:rFonts w:hint="eastAsia"/>
          <w:b w:val="0"/>
        </w:rPr>
        <w:t>门、4</w:t>
      </w:r>
      <w:r>
        <w:rPr>
          <w:rStyle w:val="12"/>
          <w:b w:val="0"/>
        </w:rPr>
        <w:t>7</w:t>
      </w:r>
      <w:r>
        <w:rPr>
          <w:rStyle w:val="12"/>
          <w:rFonts w:hint="eastAsia"/>
          <w:b w:val="0"/>
        </w:rPr>
        <w:t>周、4</w:t>
      </w:r>
      <w:r>
        <w:rPr>
          <w:rStyle w:val="12"/>
          <w:b w:val="0"/>
        </w:rPr>
        <w:t>7</w:t>
      </w:r>
      <w:r>
        <w:rPr>
          <w:rStyle w:val="12"/>
          <w:rFonts w:hint="eastAsia"/>
          <w:b w:val="0"/>
        </w:rPr>
        <w:t>学分）</w:t>
      </w:r>
    </w:p>
    <w:tbl>
      <w:tblPr>
        <w:tblStyle w:val="10"/>
        <w:tblW w:w="9037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7"/>
        <w:gridCol w:w="885"/>
        <w:gridCol w:w="1050"/>
        <w:gridCol w:w="758"/>
        <w:gridCol w:w="2257"/>
        <w:gridCol w:w="885"/>
        <w:gridCol w:w="82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科目名称</w:t>
            </w:r>
          </w:p>
        </w:tc>
        <w:tc>
          <w:tcPr>
            <w:tcW w:w="88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周</w:t>
            </w: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学分</w:t>
            </w:r>
          </w:p>
        </w:tc>
        <w:tc>
          <w:tcPr>
            <w:tcW w:w="7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科目名称</w:t>
            </w:r>
          </w:p>
        </w:tc>
        <w:tc>
          <w:tcPr>
            <w:tcW w:w="88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周</w:t>
            </w:r>
          </w:p>
        </w:tc>
        <w:tc>
          <w:tcPr>
            <w:tcW w:w="82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内科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11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11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外科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12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  <w:tcBorders>
              <w:top w:val="nil"/>
              <w:bottom w:val="nil"/>
            </w:tcBorders>
            <w:vAlign w:val="center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 xml:space="preserve"> </w:t>
            </w: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 xml:space="preserve">   </w:t>
            </w: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心血管内科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758" w:type="dxa"/>
            <w:tcBorders>
              <w:top w:val="nil"/>
              <w:bottom w:val="nil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 xml:space="preserve">    胃肠外科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  <w:tcBorders>
              <w:top w:val="nil"/>
              <w:bottom w:val="nil"/>
            </w:tcBorders>
            <w:vAlign w:val="center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 xml:space="preserve"> </w:t>
            </w: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 xml:space="preserve">   </w:t>
            </w: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消化内科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758" w:type="dxa"/>
            <w:tcBorders>
              <w:top w:val="nil"/>
              <w:bottom w:val="nil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 xml:space="preserve">    肝胆外科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  <w:tcBorders>
              <w:top w:val="nil"/>
              <w:bottom w:val="nil"/>
            </w:tcBorders>
            <w:vAlign w:val="center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 xml:space="preserve"> </w:t>
            </w: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 xml:space="preserve">   </w:t>
            </w: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呼吸内科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1050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758" w:type="dxa"/>
            <w:tcBorders>
              <w:top w:val="nil"/>
              <w:bottom w:val="nil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 xml:space="preserve">    其他普通外科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  <w:tcBorders>
              <w:top w:val="nil"/>
            </w:tcBorders>
            <w:vAlign w:val="center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 xml:space="preserve"> </w:t>
            </w: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 xml:space="preserve">   </w:t>
            </w: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其他内科</w:t>
            </w:r>
          </w:p>
        </w:tc>
        <w:tc>
          <w:tcPr>
            <w:tcW w:w="885" w:type="dxa"/>
            <w:tcBorders>
              <w:top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1050" w:type="dxa"/>
            <w:tcBorders>
              <w:top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758" w:type="dxa"/>
            <w:tcBorders>
              <w:top w:val="nil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  <w:tcBorders>
              <w:top w:val="nil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 xml:space="preserve">    其他外科</w:t>
            </w:r>
          </w:p>
        </w:tc>
        <w:tc>
          <w:tcPr>
            <w:tcW w:w="885" w:type="dxa"/>
            <w:tcBorders>
              <w:top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6</w:t>
            </w:r>
          </w:p>
        </w:tc>
        <w:tc>
          <w:tcPr>
            <w:tcW w:w="825" w:type="dxa"/>
            <w:tcBorders>
              <w:top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  <w:tcBorders>
              <w:top w:val="nil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妇产科</w:t>
            </w:r>
          </w:p>
        </w:tc>
        <w:tc>
          <w:tcPr>
            <w:tcW w:w="885" w:type="dxa"/>
            <w:tcBorders>
              <w:top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6</w:t>
            </w:r>
          </w:p>
        </w:tc>
        <w:tc>
          <w:tcPr>
            <w:tcW w:w="1050" w:type="dxa"/>
            <w:tcBorders>
              <w:top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6</w:t>
            </w:r>
          </w:p>
        </w:tc>
        <w:tc>
          <w:tcPr>
            <w:tcW w:w="758" w:type="dxa"/>
            <w:tcBorders>
              <w:top w:val="nil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  <w:tcBorders>
              <w:top w:val="nil"/>
            </w:tcBorders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儿科</w:t>
            </w:r>
          </w:p>
        </w:tc>
        <w:tc>
          <w:tcPr>
            <w:tcW w:w="885" w:type="dxa"/>
            <w:tcBorders>
              <w:top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6</w:t>
            </w:r>
          </w:p>
        </w:tc>
        <w:tc>
          <w:tcPr>
            <w:tcW w:w="825" w:type="dxa"/>
            <w:tcBorders>
              <w:top w:val="nil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感染性疾病科</w:t>
            </w:r>
          </w:p>
        </w:tc>
        <w:tc>
          <w:tcPr>
            <w:tcW w:w="88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1050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神经内科</w:t>
            </w:r>
          </w:p>
        </w:tc>
        <w:tc>
          <w:tcPr>
            <w:tcW w:w="88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82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急诊科</w:t>
            </w:r>
          </w:p>
        </w:tc>
        <w:tc>
          <w:tcPr>
            <w:tcW w:w="88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1050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中医科</w:t>
            </w:r>
          </w:p>
        </w:tc>
        <w:tc>
          <w:tcPr>
            <w:tcW w:w="88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82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社区卫生</w:t>
            </w:r>
          </w:p>
        </w:tc>
        <w:tc>
          <w:tcPr>
            <w:tcW w:w="88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1050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全科医学科</w:t>
            </w:r>
          </w:p>
        </w:tc>
        <w:tc>
          <w:tcPr>
            <w:tcW w:w="88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82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377" w:type="dxa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岗前培训</w:t>
            </w:r>
          </w:p>
        </w:tc>
        <w:tc>
          <w:tcPr>
            <w:tcW w:w="88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1050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57" w:type="dxa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88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82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</w:tr>
    </w:tbl>
    <w:p>
      <w:pPr>
        <w:pStyle w:val="8"/>
        <w:spacing w:before="0" w:beforeAutospacing="0" w:after="0" w:afterAutospacing="0" w:line="264" w:lineRule="auto"/>
        <w:rPr>
          <w:rStyle w:val="12"/>
          <w:b w:val="0"/>
        </w:rPr>
      </w:pPr>
    </w:p>
    <w:p>
      <w:pPr>
        <w:pStyle w:val="8"/>
        <w:spacing w:before="0" w:beforeAutospacing="0" w:after="0" w:afterAutospacing="0" w:line="264" w:lineRule="auto"/>
        <w:ind w:firstLine="480" w:firstLineChars="200"/>
        <w:rPr>
          <w:rStyle w:val="12"/>
          <w:b w:val="0"/>
          <w:bCs w:val="0"/>
        </w:rPr>
      </w:pPr>
    </w:p>
    <w:p>
      <w:pPr>
        <w:pStyle w:val="8"/>
        <w:spacing w:before="0" w:beforeAutospacing="0" w:after="0" w:afterAutospacing="0" w:line="264" w:lineRule="auto"/>
        <w:ind w:firstLine="480" w:firstLineChars="200"/>
        <w:rPr>
          <w:rStyle w:val="12"/>
          <w:b w:val="0"/>
          <w:bCs w:val="0"/>
        </w:rPr>
      </w:pPr>
      <w:r>
        <w:rPr>
          <w:rStyle w:val="12"/>
          <w:b w:val="0"/>
          <w:bCs w:val="0"/>
        </w:rPr>
        <w:t>2</w:t>
      </w:r>
      <w:r>
        <w:rPr>
          <w:rStyle w:val="12"/>
          <w:rFonts w:hint="eastAsia"/>
          <w:b w:val="0"/>
          <w:bCs w:val="0"/>
        </w:rPr>
        <w:t>．选修实习科目（任选</w:t>
      </w:r>
      <w:r>
        <w:rPr>
          <w:rStyle w:val="12"/>
          <w:b w:val="0"/>
          <w:bCs w:val="0"/>
        </w:rPr>
        <w:t>1</w:t>
      </w:r>
      <w:r>
        <w:rPr>
          <w:rStyle w:val="12"/>
          <w:rFonts w:hint="eastAsia"/>
          <w:b w:val="0"/>
          <w:bCs w:val="0"/>
        </w:rPr>
        <w:t>科，</w:t>
      </w:r>
      <w:r>
        <w:rPr>
          <w:rStyle w:val="12"/>
          <w:b w:val="0"/>
          <w:bCs w:val="0"/>
        </w:rPr>
        <w:t>1</w:t>
      </w:r>
      <w:r>
        <w:rPr>
          <w:rStyle w:val="12"/>
          <w:rFonts w:hint="eastAsia"/>
          <w:b w:val="0"/>
          <w:bCs w:val="0"/>
        </w:rPr>
        <w:t>周，</w:t>
      </w:r>
      <w:r>
        <w:rPr>
          <w:rStyle w:val="12"/>
          <w:b w:val="0"/>
          <w:bCs w:val="0"/>
        </w:rPr>
        <w:t>1</w:t>
      </w:r>
      <w:r>
        <w:rPr>
          <w:rStyle w:val="12"/>
          <w:rFonts w:hint="eastAsia"/>
          <w:b w:val="0"/>
          <w:bCs w:val="0"/>
        </w:rPr>
        <w:t>学分）</w:t>
      </w:r>
      <w:r>
        <w:rPr>
          <w:rStyle w:val="12"/>
          <w:b w:val="0"/>
          <w:bCs w:val="0"/>
        </w:rPr>
        <w:t xml:space="preserve">  </w:t>
      </w:r>
    </w:p>
    <w:tbl>
      <w:tblPr>
        <w:tblStyle w:val="10"/>
        <w:tblW w:w="9019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4"/>
        <w:gridCol w:w="825"/>
        <w:gridCol w:w="1038"/>
        <w:gridCol w:w="763"/>
        <w:gridCol w:w="2249"/>
        <w:gridCol w:w="838"/>
        <w:gridCol w:w="86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4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bookmarkStart w:id="0" w:name="OLE_LINK3"/>
            <w:bookmarkStart w:id="1" w:name="OLE_LINK2"/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科目名称</w:t>
            </w:r>
          </w:p>
        </w:tc>
        <w:tc>
          <w:tcPr>
            <w:tcW w:w="8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周</w:t>
            </w:r>
          </w:p>
        </w:tc>
        <w:tc>
          <w:tcPr>
            <w:tcW w:w="10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学分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科目名称</w:t>
            </w: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周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44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sz w:val="24"/>
              </w:rPr>
              <w:t>耳鼻咽喉</w:t>
            </w:r>
            <w:r>
              <w:rPr>
                <w:rFonts w:hint="eastAsia"/>
                <w:sz w:val="24"/>
              </w:rPr>
              <w:t>头颈外</w:t>
            </w:r>
            <w:r>
              <w:rPr>
                <w:sz w:val="24"/>
              </w:rPr>
              <w:t>科</w:t>
            </w:r>
          </w:p>
        </w:tc>
        <w:tc>
          <w:tcPr>
            <w:tcW w:w="825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76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4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心电诊断科</w:t>
            </w:r>
          </w:p>
        </w:tc>
        <w:tc>
          <w:tcPr>
            <w:tcW w:w="838" w:type="dxa"/>
            <w:tcBorders>
              <w:top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862" w:type="dxa"/>
            <w:tcBorders>
              <w:top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444" w:type="dxa"/>
            <w:vAlign w:val="center"/>
          </w:tcPr>
          <w:p>
            <w:pPr>
              <w:widowControl/>
              <w:spacing w:line="288" w:lineRule="auto"/>
              <w:jc w:val="left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超声医学科</w:t>
            </w:r>
          </w:p>
        </w:tc>
        <w:tc>
          <w:tcPr>
            <w:tcW w:w="825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spacing w:line="288" w:lineRule="auto"/>
              <w:jc w:val="left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49" w:type="dxa"/>
            <w:vAlign w:val="center"/>
          </w:tcPr>
          <w:p>
            <w:pPr>
              <w:widowControl/>
              <w:spacing w:line="288" w:lineRule="auto"/>
              <w:jc w:val="left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皮肤</w:t>
            </w:r>
            <w:r>
              <w:rPr>
                <w:rFonts w:hint="eastAsia"/>
                <w:sz w:val="24"/>
              </w:rPr>
              <w:t>性病</w:t>
            </w:r>
            <w:r>
              <w:rPr>
                <w:sz w:val="24"/>
              </w:rPr>
              <w:t>科</w:t>
            </w:r>
          </w:p>
        </w:tc>
        <w:tc>
          <w:tcPr>
            <w:tcW w:w="838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862" w:type="dxa"/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444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眼科</w:t>
            </w:r>
          </w:p>
        </w:tc>
        <w:tc>
          <w:tcPr>
            <w:tcW w:w="825" w:type="dxa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76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224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88" w:lineRule="auto"/>
              <w:jc w:val="left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hint="eastAsia" w:ascii="宋体" w:hAnsi="宋体"/>
                <w:b w:val="0"/>
                <w:bCs w:val="0"/>
                <w:sz w:val="24"/>
              </w:rPr>
              <w:t>放射科</w:t>
            </w:r>
          </w:p>
        </w:tc>
        <w:tc>
          <w:tcPr>
            <w:tcW w:w="838" w:type="dxa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862" w:type="dxa"/>
            <w:tcBorders>
              <w:bottom w:val="single" w:color="auto" w:sz="4" w:space="0"/>
            </w:tcBorders>
          </w:tcPr>
          <w:p>
            <w:pPr>
              <w:widowControl/>
              <w:spacing w:line="288" w:lineRule="auto"/>
              <w:jc w:val="center"/>
              <w:rPr>
                <w:rStyle w:val="12"/>
                <w:rFonts w:ascii="宋体" w:hAnsi="宋体"/>
                <w:b w:val="0"/>
                <w:bCs w:val="0"/>
                <w:sz w:val="24"/>
              </w:rPr>
            </w:pPr>
            <w:r>
              <w:rPr>
                <w:rStyle w:val="12"/>
                <w:rFonts w:ascii="宋体" w:hAnsi="宋体"/>
                <w:b w:val="0"/>
                <w:bCs w:val="0"/>
                <w:sz w:val="24"/>
              </w:rPr>
              <w:t>1</w:t>
            </w:r>
          </w:p>
        </w:tc>
      </w:tr>
    </w:tbl>
    <w:p>
      <w:pPr>
        <w:pStyle w:val="8"/>
        <w:spacing w:before="0" w:beforeAutospacing="0" w:after="0" w:afterAutospacing="0"/>
        <w:rPr>
          <w:rStyle w:val="12"/>
          <w:b w:val="0"/>
        </w:rPr>
      </w:pP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  <w:bCs w:val="0"/>
          <w:sz w:val="21"/>
        </w:rPr>
      </w:pPr>
      <w:r>
        <w:rPr>
          <w:rStyle w:val="12"/>
          <w:rFonts w:hint="eastAsia"/>
          <w:b w:val="0"/>
        </w:rPr>
        <w:t>3</w:t>
      </w:r>
      <w:r>
        <w:rPr>
          <w:rStyle w:val="12"/>
          <w:b w:val="0"/>
        </w:rPr>
        <w:t>.</w:t>
      </w:r>
      <w:r>
        <w:rPr>
          <w:rStyle w:val="14"/>
          <w:rFonts w:hint="eastAsia"/>
        </w:rPr>
        <w:t xml:space="preserve"> </w:t>
      </w:r>
      <w:r>
        <w:rPr>
          <w:rStyle w:val="12"/>
          <w:rFonts w:hint="eastAsia"/>
          <w:b w:val="0"/>
          <w:bCs w:val="0"/>
        </w:rPr>
        <w:t>机动</w:t>
      </w:r>
      <w:r>
        <w:rPr>
          <w:rStyle w:val="12"/>
          <w:b w:val="0"/>
          <w:bCs w:val="0"/>
        </w:rPr>
        <w:t>2</w:t>
      </w:r>
      <w:r>
        <w:rPr>
          <w:rStyle w:val="12"/>
          <w:rFonts w:hint="eastAsia"/>
          <w:b w:val="0"/>
          <w:bCs w:val="0"/>
        </w:rPr>
        <w:t>周用于事假、考试、双选、公益活动等。</w:t>
      </w:r>
      <w:bookmarkEnd w:id="0"/>
      <w:bookmarkEnd w:id="1"/>
    </w:p>
    <w:p>
      <w:pPr>
        <w:pStyle w:val="8"/>
        <w:spacing w:before="0" w:beforeAutospacing="0" w:after="0" w:afterAutospacing="0"/>
        <w:ind w:firstLine="352" w:firstLineChars="147"/>
      </w:pPr>
      <w:r>
        <w:rPr>
          <w:rFonts w:hint="eastAsia"/>
        </w:rPr>
        <w:t>（五）社会实践：共2周，2学分。</w:t>
      </w:r>
    </w:p>
    <w:p>
      <w:pPr>
        <w:pStyle w:val="4"/>
        <w:spacing w:after="0" w:line="240" w:lineRule="auto"/>
        <w:ind w:left="0" w:leftChars="0" w:firstLine="600" w:firstLineChars="250"/>
        <w:rPr>
          <w:rStyle w:val="12"/>
          <w:rFonts w:ascii="宋体" w:hAnsi="宋体"/>
          <w:b w:val="0"/>
          <w:kern w:val="0"/>
          <w:sz w:val="24"/>
        </w:rPr>
      </w:pPr>
      <w:r>
        <w:rPr>
          <w:rStyle w:val="12"/>
          <w:rFonts w:hint="eastAsia" w:ascii="宋体" w:hAnsi="宋体"/>
          <w:b w:val="0"/>
          <w:kern w:val="0"/>
          <w:sz w:val="24"/>
        </w:rPr>
        <w:t>1</w:t>
      </w:r>
      <w:r>
        <w:rPr>
          <w:rStyle w:val="12"/>
          <w:rFonts w:ascii="宋体" w:hAnsi="宋体"/>
          <w:b w:val="0"/>
          <w:kern w:val="0"/>
          <w:sz w:val="24"/>
        </w:rPr>
        <w:t>.</w:t>
      </w:r>
      <w:r>
        <w:rPr>
          <w:rStyle w:val="12"/>
          <w:rFonts w:hint="eastAsia" w:ascii="宋体" w:hAnsi="宋体"/>
          <w:b w:val="0"/>
          <w:kern w:val="0"/>
          <w:sz w:val="24"/>
        </w:rPr>
        <w:t>假期</w:t>
      </w:r>
      <w:r>
        <w:rPr>
          <w:rStyle w:val="12"/>
          <w:rFonts w:ascii="宋体" w:hAnsi="宋体"/>
          <w:b w:val="0"/>
          <w:kern w:val="0"/>
          <w:sz w:val="24"/>
        </w:rPr>
        <w:t>社会实践</w:t>
      </w:r>
      <w:r>
        <w:rPr>
          <w:rStyle w:val="12"/>
          <w:rFonts w:hint="eastAsia" w:ascii="宋体" w:hAnsi="宋体"/>
          <w:b w:val="0"/>
          <w:kern w:val="0"/>
          <w:sz w:val="24"/>
        </w:rPr>
        <w:t>：</w:t>
      </w:r>
      <w:r>
        <w:rPr>
          <w:rStyle w:val="12"/>
          <w:rFonts w:ascii="宋体" w:hAnsi="宋体"/>
          <w:b w:val="0"/>
          <w:kern w:val="0"/>
          <w:sz w:val="24"/>
        </w:rPr>
        <w:t>寒暑</w:t>
      </w:r>
      <w:r>
        <w:rPr>
          <w:rStyle w:val="12"/>
          <w:rFonts w:hint="eastAsia" w:ascii="宋体" w:hAnsi="宋体"/>
          <w:b w:val="0"/>
          <w:kern w:val="0"/>
          <w:sz w:val="24"/>
        </w:rPr>
        <w:t>假</w:t>
      </w:r>
      <w:r>
        <w:rPr>
          <w:rStyle w:val="12"/>
          <w:rFonts w:ascii="宋体" w:hAnsi="宋体"/>
          <w:b w:val="0"/>
          <w:kern w:val="0"/>
          <w:sz w:val="24"/>
        </w:rPr>
        <w:t>社会实践</w:t>
      </w:r>
      <w:r>
        <w:rPr>
          <w:rStyle w:val="12"/>
          <w:rFonts w:hint="eastAsia" w:ascii="宋体" w:hAnsi="宋体"/>
          <w:b w:val="0"/>
          <w:kern w:val="0"/>
          <w:sz w:val="24"/>
        </w:rPr>
        <w:t>，36学时（1周）计1学分。</w:t>
      </w:r>
    </w:p>
    <w:p>
      <w:pPr>
        <w:pStyle w:val="4"/>
        <w:spacing w:after="0" w:line="240" w:lineRule="auto"/>
        <w:ind w:left="0" w:leftChars="0" w:firstLine="600" w:firstLineChars="250"/>
        <w:rPr>
          <w:rStyle w:val="12"/>
          <w:rFonts w:ascii="宋体" w:hAnsi="宋体"/>
          <w:b w:val="0"/>
          <w:kern w:val="0"/>
          <w:sz w:val="24"/>
        </w:rPr>
      </w:pPr>
      <w:r>
        <w:rPr>
          <w:rStyle w:val="12"/>
          <w:rFonts w:hint="eastAsia" w:ascii="宋体" w:hAnsi="宋体"/>
          <w:b w:val="0"/>
          <w:kern w:val="0"/>
          <w:sz w:val="24"/>
        </w:rPr>
        <w:t>2</w:t>
      </w:r>
      <w:r>
        <w:rPr>
          <w:rStyle w:val="12"/>
          <w:rFonts w:ascii="宋体" w:hAnsi="宋体"/>
          <w:b w:val="0"/>
          <w:kern w:val="0"/>
          <w:sz w:val="24"/>
        </w:rPr>
        <w:t>.</w:t>
      </w:r>
      <w:r>
        <w:rPr>
          <w:rStyle w:val="12"/>
          <w:rFonts w:hint="eastAsia" w:ascii="宋体" w:hAnsi="宋体"/>
          <w:b w:val="0"/>
          <w:kern w:val="0"/>
          <w:sz w:val="24"/>
        </w:rPr>
        <w:t>志愿</w:t>
      </w:r>
      <w:r>
        <w:rPr>
          <w:rStyle w:val="12"/>
          <w:rFonts w:ascii="宋体" w:hAnsi="宋体"/>
          <w:b w:val="0"/>
          <w:kern w:val="0"/>
          <w:sz w:val="24"/>
        </w:rPr>
        <w:t>服务：校内外志愿服务活动，</w:t>
      </w:r>
      <w:r>
        <w:rPr>
          <w:rStyle w:val="12"/>
          <w:rFonts w:hint="eastAsia" w:ascii="宋体" w:hAnsi="宋体"/>
          <w:b w:val="0"/>
          <w:kern w:val="0"/>
          <w:sz w:val="24"/>
        </w:rPr>
        <w:t>36学时（1周）计1学分。</w:t>
      </w:r>
    </w:p>
    <w:p>
      <w:pPr>
        <w:pStyle w:val="8"/>
        <w:spacing w:before="0" w:beforeAutospacing="0" w:after="0" w:afterAutospacing="0"/>
        <w:ind w:firstLine="600" w:firstLineChars="250"/>
        <w:rPr>
          <w:rStyle w:val="12"/>
          <w:b w:val="0"/>
        </w:rPr>
      </w:pPr>
      <w:r>
        <w:rPr>
          <w:rStyle w:val="12"/>
          <w:rFonts w:hint="eastAsia"/>
          <w:b w:val="0"/>
        </w:rPr>
        <w:t>单项或者累计学分满2学分者，计2学分。</w:t>
      </w:r>
    </w:p>
    <w:p>
      <w:pPr>
        <w:pStyle w:val="8"/>
        <w:spacing w:before="0" w:beforeAutospacing="0" w:after="0" w:afterAutospacing="0"/>
        <w:rPr>
          <w:rStyle w:val="12"/>
        </w:rPr>
      </w:pPr>
      <w:r>
        <w:rPr>
          <w:rStyle w:val="12"/>
          <w:rFonts w:hint="eastAsia"/>
        </w:rPr>
        <w:t>六</w:t>
      </w:r>
      <w:r>
        <w:rPr>
          <w:rStyle w:val="12"/>
        </w:rPr>
        <w:t>、</w:t>
      </w:r>
      <w:r>
        <w:rPr>
          <w:rStyle w:val="12"/>
          <w:rFonts w:hint="eastAsia"/>
        </w:rPr>
        <w:t xml:space="preserve">学制及修业年限   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</w:rPr>
      </w:pPr>
      <w:r>
        <w:rPr>
          <w:rStyle w:val="12"/>
          <w:rFonts w:hint="eastAsia"/>
          <w:b w:val="0"/>
        </w:rPr>
        <w:t>（一）基本学制：5年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</w:rPr>
      </w:pPr>
      <w:r>
        <w:rPr>
          <w:rStyle w:val="12"/>
          <w:rFonts w:hint="eastAsia"/>
          <w:b w:val="0"/>
        </w:rPr>
        <w:t>（二）修业年限：5～8年</w:t>
      </w:r>
    </w:p>
    <w:p>
      <w:pPr>
        <w:pStyle w:val="8"/>
        <w:spacing w:before="0" w:beforeAutospacing="0" w:after="0" w:afterAutospacing="0"/>
        <w:ind w:firstLine="480" w:firstLineChars="200"/>
        <w:rPr>
          <w:rStyle w:val="12"/>
          <w:b w:val="0"/>
        </w:rPr>
      </w:pPr>
      <w:r>
        <w:rPr>
          <w:rStyle w:val="12"/>
          <w:rFonts w:hint="eastAsia"/>
          <w:b w:val="0"/>
        </w:rPr>
        <w:t>（三）各学年时间分配（表1）</w:t>
      </w:r>
    </w:p>
    <w:p>
      <w:pPr>
        <w:pStyle w:val="3"/>
        <w:spacing w:after="0"/>
        <w:jc w:val="center"/>
        <w:rPr>
          <w:rStyle w:val="12"/>
          <w:rFonts w:ascii="宋体" w:hAnsi="宋体"/>
          <w:b w:val="0"/>
          <w:bCs w:val="0"/>
        </w:rPr>
      </w:pPr>
      <w:r>
        <w:rPr>
          <w:rStyle w:val="12"/>
          <w:rFonts w:hint="eastAsia" w:ascii="宋体" w:hAnsi="宋体"/>
          <w:b w:val="0"/>
        </w:rPr>
        <w:t>表</w:t>
      </w:r>
      <w:r>
        <w:rPr>
          <w:rStyle w:val="12"/>
          <w:rFonts w:hint="eastAsia" w:ascii="宋体" w:hAnsi="宋体"/>
          <w:b w:val="0"/>
          <w:bCs w:val="0"/>
        </w:rPr>
        <w:t>1</w:t>
      </w:r>
      <w:r>
        <w:rPr>
          <w:rStyle w:val="12"/>
          <w:rFonts w:hint="eastAsia" w:ascii="宋体" w:hAnsi="宋体"/>
          <w:b w:val="0"/>
        </w:rPr>
        <w:t xml:space="preserve"> 五年制临床医学专业</w:t>
      </w:r>
      <w:r>
        <w:rPr>
          <w:rStyle w:val="12"/>
          <w:rFonts w:hint="eastAsia" w:ascii="宋体" w:hAnsi="宋体"/>
          <w:b w:val="0"/>
          <w:szCs w:val="21"/>
        </w:rPr>
        <w:t>（农村订单定向免费医学生）</w:t>
      </w:r>
      <w:r>
        <w:rPr>
          <w:rStyle w:val="12"/>
          <w:rFonts w:hint="eastAsia" w:ascii="宋体" w:hAnsi="宋体"/>
          <w:b w:val="0"/>
        </w:rPr>
        <w:t>各学年时间分配表（单位：周）</w:t>
      </w:r>
    </w:p>
    <w:tbl>
      <w:tblPr>
        <w:tblStyle w:val="10"/>
        <w:tblW w:w="837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220"/>
        <w:gridCol w:w="1134"/>
        <w:gridCol w:w="1134"/>
        <w:gridCol w:w="1134"/>
        <w:gridCol w:w="1134"/>
        <w:gridCol w:w="1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学年</w:t>
            </w:r>
          </w:p>
        </w:tc>
        <w:tc>
          <w:tcPr>
            <w:tcW w:w="1220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考试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毕业实习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机动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假期</w:t>
            </w:r>
          </w:p>
        </w:tc>
        <w:tc>
          <w:tcPr>
            <w:tcW w:w="1560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0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  <w:r>
              <w:rPr>
                <w:rFonts w:hint="eastAsia" w:ascii="宋体" w:hAnsi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四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五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合计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4</w:t>
            </w:r>
            <w:r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3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※技能培训安排在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-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  <w:r>
              <w:rPr>
                <w:rFonts w:hint="eastAsia" w:ascii="宋体" w:hAnsi="宋体" w:cs="宋体"/>
                <w:kern w:val="0"/>
                <w:szCs w:val="21"/>
              </w:rPr>
              <w:t>学期进行；社会实践2周，由校团委作统一部署，机动含军训、社会实践、毕业考试等其他环节。</w:t>
            </w:r>
          </w:p>
        </w:tc>
      </w:tr>
    </w:tbl>
    <w:p>
      <w:pPr>
        <w:pStyle w:val="8"/>
        <w:widowControl w:val="0"/>
        <w:spacing w:before="0" w:beforeAutospacing="0" w:after="0" w:afterAutospacing="0"/>
        <w:rPr>
          <w:rStyle w:val="12"/>
          <w:sz w:val="21"/>
          <w:szCs w:val="21"/>
        </w:rPr>
      </w:pPr>
      <w:r>
        <w:rPr>
          <w:rStyle w:val="12"/>
          <w:rFonts w:hint="eastAsia"/>
        </w:rPr>
        <w:t>七、毕业与学位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rPr>
          <w:bCs/>
          <w:sz w:val="21"/>
          <w:szCs w:val="21"/>
        </w:rPr>
      </w:pPr>
      <w:r>
        <w:rPr>
          <w:rFonts w:hint="eastAsia"/>
          <w:bCs/>
        </w:rPr>
        <w:t>在学校规定修业年限内修完全部必修课程，成绩合格，限选课程修满1</w:t>
      </w:r>
      <w:r>
        <w:rPr>
          <w:bCs/>
        </w:rPr>
        <w:t>0</w:t>
      </w:r>
      <w:r>
        <w:rPr>
          <w:rFonts w:hint="eastAsia"/>
          <w:bCs/>
        </w:rPr>
        <w:t>学分，任选课修满</w:t>
      </w:r>
      <w:r>
        <w:rPr>
          <w:bCs/>
        </w:rPr>
        <w:t>20</w:t>
      </w:r>
      <w:r>
        <w:rPr>
          <w:rFonts w:hint="eastAsia"/>
          <w:bCs/>
        </w:rPr>
        <w:t>学分，通过毕业实习、综合考试（包括基础课</w:t>
      </w:r>
      <w:r>
        <w:rPr>
          <w:bCs/>
        </w:rPr>
        <w:t>综合考试、</w:t>
      </w:r>
      <w:r>
        <w:rPr>
          <w:rFonts w:hint="eastAsia"/>
          <w:bCs/>
        </w:rPr>
        <w:t>专业课</w:t>
      </w:r>
      <w:r>
        <w:rPr>
          <w:bCs/>
        </w:rPr>
        <w:t>综合考试和</w:t>
      </w:r>
      <w:r>
        <w:rPr>
          <w:rFonts w:hint="eastAsia"/>
          <w:bCs/>
        </w:rPr>
        <w:t>毕业</w:t>
      </w:r>
      <w:r>
        <w:rPr>
          <w:bCs/>
        </w:rPr>
        <w:t>综合考试）</w:t>
      </w:r>
      <w:r>
        <w:rPr>
          <w:rFonts w:hint="eastAsia"/>
          <w:bCs/>
        </w:rPr>
        <w:t>和社会实践，总学分达</w:t>
      </w:r>
      <w:r>
        <w:rPr>
          <w:bCs/>
        </w:rPr>
        <w:t>262</w:t>
      </w:r>
      <w:r>
        <w:rPr>
          <w:rFonts w:hint="eastAsia"/>
          <w:bCs/>
        </w:rPr>
        <w:t>学分及以上，符合《广西医科大学学生学籍管理规定》中的毕业条件的准予毕业，符合《广西医科大学授予学士学位工作细则》学士学位条件的授予医学学士学位。</w:t>
      </w:r>
    </w:p>
    <w:p>
      <w:pPr>
        <w:pStyle w:val="8"/>
        <w:widowControl w:val="0"/>
        <w:spacing w:before="0" w:beforeAutospacing="0" w:after="0" w:afterAutospacing="0"/>
        <w:rPr>
          <w:b/>
          <w:bCs/>
        </w:rPr>
      </w:pPr>
      <w:r>
        <w:rPr>
          <w:rFonts w:hint="eastAsia"/>
          <w:b/>
        </w:rPr>
        <w:t>八、毕业去向</w:t>
      </w:r>
    </w:p>
    <w:p>
      <w:pPr>
        <w:pStyle w:val="8"/>
        <w:spacing w:before="0" w:beforeAutospacing="0" w:after="0" w:afterAutospacing="0"/>
        <w:ind w:firstLine="480" w:firstLineChars="200"/>
        <w:rPr>
          <w:rFonts w:cs="宋体"/>
        </w:rPr>
      </w:pPr>
      <w:r>
        <w:rPr>
          <w:rFonts w:hint="eastAsia" w:cs="宋体"/>
        </w:rPr>
        <w:t>学生须与我校和县级卫生行政部门签署定向就业协议，毕业后到有关基层医疗卫生机构工作。</w:t>
      </w:r>
    </w:p>
    <w:p>
      <w:pPr>
        <w:pStyle w:val="8"/>
        <w:numPr>
          <w:numId w:val="0"/>
        </w:numPr>
        <w:spacing w:before="0" w:beforeAutospacing="0" w:after="0" w:afterAutospacing="0"/>
        <w:ind w:leftChars="0"/>
        <w:rPr>
          <w:b/>
        </w:rPr>
      </w:pPr>
      <w:r>
        <w:rPr>
          <w:rFonts w:hint="eastAsia"/>
          <w:b/>
          <w:lang w:val="en-US" w:eastAsia="zh-CN"/>
        </w:rPr>
        <w:t>九、</w:t>
      </w:r>
      <w:r>
        <w:rPr>
          <w:rFonts w:hint="eastAsia"/>
          <w:b/>
        </w:rPr>
        <w:t>教学进程</w:t>
      </w:r>
    </w:p>
    <w:p>
      <w:pPr>
        <w:pStyle w:val="8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8" w:lineRule="auto"/>
        <w:textAlignment w:val="auto"/>
        <w:rPr>
          <w:rStyle w:val="12"/>
          <w:rFonts w:hint="eastAsia" w:ascii="Times New Roman" w:hAnsi="Times New Roman"/>
          <w:color w:val="auto"/>
        </w:rPr>
      </w:pPr>
    </w:p>
    <w:p>
      <w:pPr>
        <w:pStyle w:val="8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8" w:lineRule="auto"/>
        <w:ind w:leftChars="0"/>
        <w:textAlignment w:val="auto"/>
        <w:rPr>
          <w:rStyle w:val="12"/>
          <w:rFonts w:hint="eastAsia" w:ascii="Times New Roman" w:hAnsi="Times New Roman"/>
          <w:color w:val="auto"/>
        </w:rPr>
        <w:sectPr>
          <w:pgSz w:w="11906" w:h="16838"/>
          <w:pgMar w:top="1440" w:right="1440" w:bottom="1440" w:left="1440" w:header="709" w:footer="709" w:gutter="0"/>
          <w:cols w:space="708" w:num="1"/>
          <w:docGrid w:type="lines" w:linePitch="360" w:charSpace="0"/>
        </w:sectPr>
      </w:pPr>
      <w:r>
        <w:rPr>
          <w:rStyle w:val="12"/>
          <w:rFonts w:hint="eastAsia" w:ascii="Times New Roman" w:hAnsi="Times New Roman"/>
          <w:color w:val="auto"/>
          <w:lang w:val="en-US" w:eastAsia="zh-CN"/>
        </w:rPr>
        <w:t>十、</w:t>
      </w:r>
      <w:r>
        <w:rPr>
          <w:rStyle w:val="12"/>
          <w:rFonts w:hint="eastAsia" w:ascii="Times New Roman" w:hAnsi="Times New Roman"/>
          <w:color w:val="auto"/>
        </w:rPr>
        <w:t>五年制临床医学专业</w:t>
      </w:r>
      <w:r>
        <w:rPr>
          <w:rStyle w:val="12"/>
          <w:rFonts w:hint="eastAsia" w:ascii="Times New Roman" w:hAnsi="Times New Roman"/>
          <w:color w:val="auto"/>
          <w:lang w:eastAsia="zh-CN"/>
        </w:rPr>
        <w:t>（</w:t>
      </w:r>
      <w:r>
        <w:rPr>
          <w:rStyle w:val="12"/>
          <w:rFonts w:hint="eastAsia" w:ascii="Times New Roman" w:hAnsi="Times New Roman"/>
          <w:color w:val="auto"/>
          <w:lang w:val="en-US" w:eastAsia="zh-CN"/>
        </w:rPr>
        <w:t>农村订单定向免费医学生</w:t>
      </w:r>
      <w:r>
        <w:rPr>
          <w:rStyle w:val="12"/>
          <w:rFonts w:hint="eastAsia" w:ascii="Times New Roman" w:hAnsi="Times New Roman"/>
          <w:color w:val="auto"/>
          <w:lang w:eastAsia="zh-CN"/>
        </w:rPr>
        <w:t>）</w:t>
      </w:r>
      <w:r>
        <w:rPr>
          <w:rStyle w:val="12"/>
          <w:rFonts w:hint="eastAsia" w:ascii="Times New Roman" w:hAnsi="Times New Roman"/>
          <w:color w:val="auto"/>
        </w:rPr>
        <w:t>课程体系对培养要求指标点支撑矩阵图</w:t>
      </w:r>
    </w:p>
    <w:p>
      <w:pPr>
        <w:pStyle w:val="8"/>
        <w:spacing w:before="0" w:beforeAutospacing="0" w:after="0" w:afterAutospacing="0"/>
        <w:rPr>
          <w:b/>
        </w:rPr>
      </w:pPr>
    </w:p>
    <w:p>
      <w:pPr>
        <w:pStyle w:val="8"/>
        <w:spacing w:before="0" w:beforeAutospacing="0" w:after="0" w:afterAutospacing="0"/>
        <w:rPr>
          <w:b/>
        </w:rPr>
      </w:pPr>
    </w:p>
    <w:tbl>
      <w:tblPr>
        <w:tblStyle w:val="10"/>
        <w:tblW w:w="143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3"/>
        <w:gridCol w:w="289"/>
        <w:gridCol w:w="286"/>
        <w:gridCol w:w="2127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93"/>
        <w:gridCol w:w="393"/>
        <w:gridCol w:w="393"/>
        <w:gridCol w:w="393"/>
        <w:gridCol w:w="39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4"/>
        <w:gridCol w:w="314"/>
        <w:gridCol w:w="314"/>
        <w:gridCol w:w="314"/>
        <w:gridCol w:w="3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4325" w:type="dxa"/>
            <w:gridSpan w:val="3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五年制临床医学专业（农村订单定向免费医学生）课程体系对培养要求指标点支撑矩阵图</w:t>
            </w:r>
            <w:bookmarkStart w:id="2" w:name="_GoBack"/>
            <w:bookmarkEnd w:id="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</w:t>
            </w:r>
          </w:p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程</w:t>
            </w:r>
          </w:p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</w:t>
            </w:r>
          </w:p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2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8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科学和学术领域</w:t>
            </w:r>
          </w:p>
        </w:tc>
        <w:tc>
          <w:tcPr>
            <w:tcW w:w="478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临床能力领域</w:t>
            </w:r>
          </w:p>
        </w:tc>
        <w:tc>
          <w:tcPr>
            <w:tcW w:w="21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健康与社会领域</w:t>
            </w:r>
          </w:p>
        </w:tc>
        <w:tc>
          <w:tcPr>
            <w:tcW w:w="25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职业素养领域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1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.2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.3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1.4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.5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.6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.1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.2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.3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.4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.5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.6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.7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.8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.9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.10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.11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.12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.13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.14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.1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.2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.3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.4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.5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.6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.7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.1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.2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.3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.4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.5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.6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.7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基础阶段必修课程</w:t>
            </w:r>
          </w:p>
        </w:tc>
        <w:tc>
          <w:tcPr>
            <w:tcW w:w="28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思想修养 ． 人文素质 ．  行为科学</w:t>
            </w: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军事理论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英语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创业基础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大学生职业发展与就业指导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马克思主义基本原理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卫生法学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医学伦理学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限选课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医学心理学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医患沟通学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自然科学</w:t>
            </w: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医用物理学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基础化学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高等数学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有机化学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生物医学</w:t>
            </w: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细胞生物学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组织学与胚胎学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系统解剖学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生理学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生物化学与分子生物学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医学免疫学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医学微生物学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医学遗传学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机能实验学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病理生理学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药理学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人体寄生虫学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局部解剖学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公共卫生与科研方法</w:t>
            </w:r>
          </w:p>
        </w:tc>
        <w:tc>
          <w:tcPr>
            <w:tcW w:w="2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2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社区医学(包含预防医学、健康教育、保健医学、医学统计学、流行病学等）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医学信息检索与利用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临床阶段必修课程</w:t>
            </w:r>
          </w:p>
        </w:tc>
        <w:tc>
          <w:tcPr>
            <w:tcW w:w="2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 床  医 学 课 程</w:t>
            </w: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全科医学概论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诊断学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外科学总论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精神病学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内科学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传染病学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儿科学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神经病学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外科学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耳鼻咽喉科学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皮肤性病学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口腔科学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眼科学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临床技能学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限选课</w:t>
            </w: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老年医学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超声诊断学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康复医学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急诊医学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核医学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8"/>
        <w:spacing w:before="0" w:beforeAutospacing="0" w:after="0" w:afterAutospacing="0"/>
        <w:rPr>
          <w:b/>
        </w:rPr>
      </w:pPr>
    </w:p>
    <w:sectPr>
      <w:headerReference r:id="rId3" w:type="default"/>
      <w:footerReference r:id="rId4" w:type="default"/>
      <w:pgSz w:w="16838" w:h="11906" w:orient="landscape"/>
      <w:pgMar w:top="14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548BC"/>
    <w:multiLevelType w:val="multilevel"/>
    <w:tmpl w:val="029548BC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A3F161B"/>
    <w:multiLevelType w:val="multilevel"/>
    <w:tmpl w:val="1A3F161B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5E622E1"/>
    <w:multiLevelType w:val="multilevel"/>
    <w:tmpl w:val="55E622E1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70C75F60"/>
    <w:multiLevelType w:val="multilevel"/>
    <w:tmpl w:val="70C75F60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iNzE0ZDQwNDUyMmVjZDBmYWJmOTZiMGIzNThkZDEifQ=="/>
  </w:docVars>
  <w:rsids>
    <w:rsidRoot w:val="00D53ABD"/>
    <w:rsid w:val="000055D1"/>
    <w:rsid w:val="00007BD4"/>
    <w:rsid w:val="000105D6"/>
    <w:rsid w:val="00011F35"/>
    <w:rsid w:val="00014E16"/>
    <w:rsid w:val="0001636B"/>
    <w:rsid w:val="00021741"/>
    <w:rsid w:val="00025589"/>
    <w:rsid w:val="00036CF5"/>
    <w:rsid w:val="0003725D"/>
    <w:rsid w:val="00040E52"/>
    <w:rsid w:val="0006063A"/>
    <w:rsid w:val="0006094F"/>
    <w:rsid w:val="000620E3"/>
    <w:rsid w:val="00067A94"/>
    <w:rsid w:val="00080411"/>
    <w:rsid w:val="00090602"/>
    <w:rsid w:val="00091E17"/>
    <w:rsid w:val="00093007"/>
    <w:rsid w:val="000938C5"/>
    <w:rsid w:val="00096DAD"/>
    <w:rsid w:val="00097555"/>
    <w:rsid w:val="000B16C2"/>
    <w:rsid w:val="000D2BA5"/>
    <w:rsid w:val="000D6EA3"/>
    <w:rsid w:val="000E79B9"/>
    <w:rsid w:val="000F085C"/>
    <w:rsid w:val="000F5C49"/>
    <w:rsid w:val="001029B9"/>
    <w:rsid w:val="00102B07"/>
    <w:rsid w:val="00102F97"/>
    <w:rsid w:val="001178EB"/>
    <w:rsid w:val="001211DF"/>
    <w:rsid w:val="0013613C"/>
    <w:rsid w:val="001368DD"/>
    <w:rsid w:val="00146138"/>
    <w:rsid w:val="0014777A"/>
    <w:rsid w:val="00157030"/>
    <w:rsid w:val="00160252"/>
    <w:rsid w:val="001842BC"/>
    <w:rsid w:val="00186ADB"/>
    <w:rsid w:val="001909B8"/>
    <w:rsid w:val="00190BF6"/>
    <w:rsid w:val="001A1FDE"/>
    <w:rsid w:val="001C08C7"/>
    <w:rsid w:val="001D180B"/>
    <w:rsid w:val="001D2846"/>
    <w:rsid w:val="001E0840"/>
    <w:rsid w:val="001E3FDF"/>
    <w:rsid w:val="001E482B"/>
    <w:rsid w:val="001F058F"/>
    <w:rsid w:val="001F3766"/>
    <w:rsid w:val="0020437E"/>
    <w:rsid w:val="0020519B"/>
    <w:rsid w:val="00216D20"/>
    <w:rsid w:val="00223307"/>
    <w:rsid w:val="002273D1"/>
    <w:rsid w:val="00227976"/>
    <w:rsid w:val="002332FC"/>
    <w:rsid w:val="00246670"/>
    <w:rsid w:val="0024740C"/>
    <w:rsid w:val="00251255"/>
    <w:rsid w:val="00255930"/>
    <w:rsid w:val="00262F80"/>
    <w:rsid w:val="002663E3"/>
    <w:rsid w:val="0026644C"/>
    <w:rsid w:val="002676D6"/>
    <w:rsid w:val="00290D44"/>
    <w:rsid w:val="00290D92"/>
    <w:rsid w:val="00291541"/>
    <w:rsid w:val="0029410A"/>
    <w:rsid w:val="002B23BC"/>
    <w:rsid w:val="002B388B"/>
    <w:rsid w:val="002D026D"/>
    <w:rsid w:val="002D0731"/>
    <w:rsid w:val="002D53DA"/>
    <w:rsid w:val="002D6273"/>
    <w:rsid w:val="002F24B5"/>
    <w:rsid w:val="00303085"/>
    <w:rsid w:val="00324DD6"/>
    <w:rsid w:val="003318CB"/>
    <w:rsid w:val="0033294F"/>
    <w:rsid w:val="00333461"/>
    <w:rsid w:val="003363AA"/>
    <w:rsid w:val="0035570D"/>
    <w:rsid w:val="003604DE"/>
    <w:rsid w:val="0036218B"/>
    <w:rsid w:val="00365748"/>
    <w:rsid w:val="0036695E"/>
    <w:rsid w:val="00382444"/>
    <w:rsid w:val="00383FFD"/>
    <w:rsid w:val="00391359"/>
    <w:rsid w:val="003933A3"/>
    <w:rsid w:val="003A205E"/>
    <w:rsid w:val="003D0F1F"/>
    <w:rsid w:val="003D658F"/>
    <w:rsid w:val="003E57DE"/>
    <w:rsid w:val="003F55F4"/>
    <w:rsid w:val="00400525"/>
    <w:rsid w:val="004006BE"/>
    <w:rsid w:val="00401C7C"/>
    <w:rsid w:val="004029C7"/>
    <w:rsid w:val="004125E4"/>
    <w:rsid w:val="004137DB"/>
    <w:rsid w:val="0041500A"/>
    <w:rsid w:val="0042111D"/>
    <w:rsid w:val="004366A7"/>
    <w:rsid w:val="004370AC"/>
    <w:rsid w:val="004410AD"/>
    <w:rsid w:val="00446AFB"/>
    <w:rsid w:val="004547F8"/>
    <w:rsid w:val="004550A3"/>
    <w:rsid w:val="00467C91"/>
    <w:rsid w:val="004723C6"/>
    <w:rsid w:val="004751A4"/>
    <w:rsid w:val="00483EBE"/>
    <w:rsid w:val="004845DF"/>
    <w:rsid w:val="00491CD9"/>
    <w:rsid w:val="004A64D5"/>
    <w:rsid w:val="004B005E"/>
    <w:rsid w:val="004B3FD5"/>
    <w:rsid w:val="004C792A"/>
    <w:rsid w:val="004D4ACC"/>
    <w:rsid w:val="004D689B"/>
    <w:rsid w:val="004E772D"/>
    <w:rsid w:val="00501470"/>
    <w:rsid w:val="00504607"/>
    <w:rsid w:val="00505B82"/>
    <w:rsid w:val="0051540C"/>
    <w:rsid w:val="005166D6"/>
    <w:rsid w:val="00534CE2"/>
    <w:rsid w:val="00543D0A"/>
    <w:rsid w:val="00552AA5"/>
    <w:rsid w:val="00555B06"/>
    <w:rsid w:val="00556077"/>
    <w:rsid w:val="00565D1D"/>
    <w:rsid w:val="00567C49"/>
    <w:rsid w:val="00570929"/>
    <w:rsid w:val="00570CA5"/>
    <w:rsid w:val="00570D27"/>
    <w:rsid w:val="00583FC1"/>
    <w:rsid w:val="005973F5"/>
    <w:rsid w:val="005B101F"/>
    <w:rsid w:val="005D10B0"/>
    <w:rsid w:val="005D1FA9"/>
    <w:rsid w:val="005D427E"/>
    <w:rsid w:val="005D5170"/>
    <w:rsid w:val="005D72AB"/>
    <w:rsid w:val="005D784D"/>
    <w:rsid w:val="005E5355"/>
    <w:rsid w:val="005E7A4D"/>
    <w:rsid w:val="006101D7"/>
    <w:rsid w:val="00611F7C"/>
    <w:rsid w:val="00623470"/>
    <w:rsid w:val="00625A31"/>
    <w:rsid w:val="00636927"/>
    <w:rsid w:val="006409A2"/>
    <w:rsid w:val="006444C2"/>
    <w:rsid w:val="00644FA3"/>
    <w:rsid w:val="00647CF7"/>
    <w:rsid w:val="006525DD"/>
    <w:rsid w:val="006540F5"/>
    <w:rsid w:val="00661710"/>
    <w:rsid w:val="0067066A"/>
    <w:rsid w:val="006706B8"/>
    <w:rsid w:val="00671B66"/>
    <w:rsid w:val="00672EFC"/>
    <w:rsid w:val="00675077"/>
    <w:rsid w:val="00682546"/>
    <w:rsid w:val="00683227"/>
    <w:rsid w:val="0068707C"/>
    <w:rsid w:val="00694DC6"/>
    <w:rsid w:val="006C1FEB"/>
    <w:rsid w:val="006C3698"/>
    <w:rsid w:val="006D7217"/>
    <w:rsid w:val="006E2311"/>
    <w:rsid w:val="006E3AA8"/>
    <w:rsid w:val="006E5C45"/>
    <w:rsid w:val="006F0F75"/>
    <w:rsid w:val="007057E9"/>
    <w:rsid w:val="00706990"/>
    <w:rsid w:val="00716B93"/>
    <w:rsid w:val="00716E39"/>
    <w:rsid w:val="0073386A"/>
    <w:rsid w:val="00746D3D"/>
    <w:rsid w:val="00751E59"/>
    <w:rsid w:val="007521CF"/>
    <w:rsid w:val="007526FE"/>
    <w:rsid w:val="00756EB9"/>
    <w:rsid w:val="00756F42"/>
    <w:rsid w:val="0075784A"/>
    <w:rsid w:val="007578CE"/>
    <w:rsid w:val="00760378"/>
    <w:rsid w:val="00761088"/>
    <w:rsid w:val="007754D1"/>
    <w:rsid w:val="00775F01"/>
    <w:rsid w:val="00782ED8"/>
    <w:rsid w:val="00787A4F"/>
    <w:rsid w:val="007938D3"/>
    <w:rsid w:val="007B0417"/>
    <w:rsid w:val="007B760B"/>
    <w:rsid w:val="007C0605"/>
    <w:rsid w:val="007C2AF1"/>
    <w:rsid w:val="007C400D"/>
    <w:rsid w:val="007C57FD"/>
    <w:rsid w:val="007C5BB9"/>
    <w:rsid w:val="007D4DA3"/>
    <w:rsid w:val="007E59E1"/>
    <w:rsid w:val="007E6A4B"/>
    <w:rsid w:val="007F1AF6"/>
    <w:rsid w:val="00800B38"/>
    <w:rsid w:val="008032EB"/>
    <w:rsid w:val="00842883"/>
    <w:rsid w:val="00862E4C"/>
    <w:rsid w:val="0086402D"/>
    <w:rsid w:val="008709CB"/>
    <w:rsid w:val="008831C3"/>
    <w:rsid w:val="00884C20"/>
    <w:rsid w:val="00890B34"/>
    <w:rsid w:val="00892DD0"/>
    <w:rsid w:val="00896888"/>
    <w:rsid w:val="008A22A8"/>
    <w:rsid w:val="008A36E7"/>
    <w:rsid w:val="008C2C29"/>
    <w:rsid w:val="008D5A02"/>
    <w:rsid w:val="008E5BD4"/>
    <w:rsid w:val="008F1FB0"/>
    <w:rsid w:val="008F712A"/>
    <w:rsid w:val="00912014"/>
    <w:rsid w:val="00912C90"/>
    <w:rsid w:val="00912DB2"/>
    <w:rsid w:val="009152E8"/>
    <w:rsid w:val="00922931"/>
    <w:rsid w:val="0092756D"/>
    <w:rsid w:val="0093618B"/>
    <w:rsid w:val="00937666"/>
    <w:rsid w:val="00950A55"/>
    <w:rsid w:val="00962B0E"/>
    <w:rsid w:val="009642A6"/>
    <w:rsid w:val="00965284"/>
    <w:rsid w:val="00965B8D"/>
    <w:rsid w:val="00970E38"/>
    <w:rsid w:val="00975622"/>
    <w:rsid w:val="00990A14"/>
    <w:rsid w:val="0099594F"/>
    <w:rsid w:val="009A2D8C"/>
    <w:rsid w:val="009A5895"/>
    <w:rsid w:val="009A74A9"/>
    <w:rsid w:val="009A752A"/>
    <w:rsid w:val="009C298E"/>
    <w:rsid w:val="009C772E"/>
    <w:rsid w:val="009D22EE"/>
    <w:rsid w:val="009D5318"/>
    <w:rsid w:val="009D7B25"/>
    <w:rsid w:val="009E752E"/>
    <w:rsid w:val="009E7CE9"/>
    <w:rsid w:val="009E7E21"/>
    <w:rsid w:val="009F17AE"/>
    <w:rsid w:val="009F7E81"/>
    <w:rsid w:val="00A02012"/>
    <w:rsid w:val="00A04F2A"/>
    <w:rsid w:val="00A15461"/>
    <w:rsid w:val="00A249F6"/>
    <w:rsid w:val="00A37000"/>
    <w:rsid w:val="00A40B30"/>
    <w:rsid w:val="00A4271B"/>
    <w:rsid w:val="00A44886"/>
    <w:rsid w:val="00A46B62"/>
    <w:rsid w:val="00A521C1"/>
    <w:rsid w:val="00A56705"/>
    <w:rsid w:val="00A57640"/>
    <w:rsid w:val="00A71CF4"/>
    <w:rsid w:val="00A73599"/>
    <w:rsid w:val="00A768A5"/>
    <w:rsid w:val="00A92DFF"/>
    <w:rsid w:val="00A9791D"/>
    <w:rsid w:val="00AA0FEA"/>
    <w:rsid w:val="00AB1FBC"/>
    <w:rsid w:val="00AC2052"/>
    <w:rsid w:val="00AD4DB7"/>
    <w:rsid w:val="00AF5654"/>
    <w:rsid w:val="00B06C73"/>
    <w:rsid w:val="00B07AFE"/>
    <w:rsid w:val="00B208E3"/>
    <w:rsid w:val="00B212D0"/>
    <w:rsid w:val="00B308AA"/>
    <w:rsid w:val="00B315EA"/>
    <w:rsid w:val="00B32DDF"/>
    <w:rsid w:val="00B43CD6"/>
    <w:rsid w:val="00B440D4"/>
    <w:rsid w:val="00B468D5"/>
    <w:rsid w:val="00B60C1D"/>
    <w:rsid w:val="00B66716"/>
    <w:rsid w:val="00B81947"/>
    <w:rsid w:val="00B903BF"/>
    <w:rsid w:val="00B967E8"/>
    <w:rsid w:val="00B973B9"/>
    <w:rsid w:val="00BA16BB"/>
    <w:rsid w:val="00BA201D"/>
    <w:rsid w:val="00BA2E01"/>
    <w:rsid w:val="00BA3958"/>
    <w:rsid w:val="00BB3433"/>
    <w:rsid w:val="00BB5EF6"/>
    <w:rsid w:val="00BB729C"/>
    <w:rsid w:val="00BC31E8"/>
    <w:rsid w:val="00BC639B"/>
    <w:rsid w:val="00BC7864"/>
    <w:rsid w:val="00BD18FD"/>
    <w:rsid w:val="00BD6A38"/>
    <w:rsid w:val="00BE7856"/>
    <w:rsid w:val="00BF0D07"/>
    <w:rsid w:val="00BF22E3"/>
    <w:rsid w:val="00C04965"/>
    <w:rsid w:val="00C13B8F"/>
    <w:rsid w:val="00C2650D"/>
    <w:rsid w:val="00C30E1F"/>
    <w:rsid w:val="00C4314E"/>
    <w:rsid w:val="00C467E6"/>
    <w:rsid w:val="00C5020B"/>
    <w:rsid w:val="00C50A4C"/>
    <w:rsid w:val="00C52A2A"/>
    <w:rsid w:val="00C566CC"/>
    <w:rsid w:val="00C625E2"/>
    <w:rsid w:val="00C70341"/>
    <w:rsid w:val="00C73A75"/>
    <w:rsid w:val="00C8051E"/>
    <w:rsid w:val="00C82BBC"/>
    <w:rsid w:val="00C85BA6"/>
    <w:rsid w:val="00C85C3A"/>
    <w:rsid w:val="00C96E31"/>
    <w:rsid w:val="00CB2C2E"/>
    <w:rsid w:val="00CC6BAB"/>
    <w:rsid w:val="00CD0075"/>
    <w:rsid w:val="00CD15F9"/>
    <w:rsid w:val="00CD30F2"/>
    <w:rsid w:val="00CE3BC8"/>
    <w:rsid w:val="00CF2CA7"/>
    <w:rsid w:val="00CF64D3"/>
    <w:rsid w:val="00D006E3"/>
    <w:rsid w:val="00D050F9"/>
    <w:rsid w:val="00D25AF4"/>
    <w:rsid w:val="00D26EB0"/>
    <w:rsid w:val="00D32804"/>
    <w:rsid w:val="00D361CA"/>
    <w:rsid w:val="00D41800"/>
    <w:rsid w:val="00D45BD4"/>
    <w:rsid w:val="00D53ABD"/>
    <w:rsid w:val="00D815D7"/>
    <w:rsid w:val="00DA2DE6"/>
    <w:rsid w:val="00DA55A2"/>
    <w:rsid w:val="00DD4CAF"/>
    <w:rsid w:val="00DD4FA3"/>
    <w:rsid w:val="00DD5314"/>
    <w:rsid w:val="00DE0CEC"/>
    <w:rsid w:val="00DE50FE"/>
    <w:rsid w:val="00DE5478"/>
    <w:rsid w:val="00DE5F47"/>
    <w:rsid w:val="00E07048"/>
    <w:rsid w:val="00E10240"/>
    <w:rsid w:val="00E15588"/>
    <w:rsid w:val="00E205EF"/>
    <w:rsid w:val="00E234A8"/>
    <w:rsid w:val="00E257C0"/>
    <w:rsid w:val="00E26F27"/>
    <w:rsid w:val="00E33CFB"/>
    <w:rsid w:val="00E35A79"/>
    <w:rsid w:val="00E40FB8"/>
    <w:rsid w:val="00E43025"/>
    <w:rsid w:val="00E43ACD"/>
    <w:rsid w:val="00E45F14"/>
    <w:rsid w:val="00E65F56"/>
    <w:rsid w:val="00E664D3"/>
    <w:rsid w:val="00E75449"/>
    <w:rsid w:val="00E810A7"/>
    <w:rsid w:val="00E8119E"/>
    <w:rsid w:val="00E86205"/>
    <w:rsid w:val="00E902D9"/>
    <w:rsid w:val="00EA192A"/>
    <w:rsid w:val="00EA23D6"/>
    <w:rsid w:val="00EA2D18"/>
    <w:rsid w:val="00EA49E6"/>
    <w:rsid w:val="00EA656F"/>
    <w:rsid w:val="00EB4D53"/>
    <w:rsid w:val="00EB5FA6"/>
    <w:rsid w:val="00EC0741"/>
    <w:rsid w:val="00EC1CA0"/>
    <w:rsid w:val="00EE304B"/>
    <w:rsid w:val="00EF261E"/>
    <w:rsid w:val="00EF689A"/>
    <w:rsid w:val="00F06B95"/>
    <w:rsid w:val="00F1307A"/>
    <w:rsid w:val="00F17875"/>
    <w:rsid w:val="00F207A4"/>
    <w:rsid w:val="00F36465"/>
    <w:rsid w:val="00F67E27"/>
    <w:rsid w:val="00F70418"/>
    <w:rsid w:val="00F704D5"/>
    <w:rsid w:val="00F75303"/>
    <w:rsid w:val="00F75D7B"/>
    <w:rsid w:val="00F84C58"/>
    <w:rsid w:val="00F93129"/>
    <w:rsid w:val="00FC058B"/>
    <w:rsid w:val="00FC7CD9"/>
    <w:rsid w:val="00FD1283"/>
    <w:rsid w:val="00FD211A"/>
    <w:rsid w:val="00FD3793"/>
    <w:rsid w:val="00FE1335"/>
    <w:rsid w:val="00FE25A1"/>
    <w:rsid w:val="00FE5F6A"/>
    <w:rsid w:val="00FF4B1C"/>
    <w:rsid w:val="01F33470"/>
    <w:rsid w:val="06CCF3E8"/>
    <w:rsid w:val="08AC3F92"/>
    <w:rsid w:val="0B813726"/>
    <w:rsid w:val="0EDF2F29"/>
    <w:rsid w:val="10C0434D"/>
    <w:rsid w:val="18CD4F52"/>
    <w:rsid w:val="198C6049"/>
    <w:rsid w:val="1D8A750E"/>
    <w:rsid w:val="226E10DC"/>
    <w:rsid w:val="29871F0B"/>
    <w:rsid w:val="2F2C1B3A"/>
    <w:rsid w:val="35951A2E"/>
    <w:rsid w:val="36F364D6"/>
    <w:rsid w:val="38121838"/>
    <w:rsid w:val="392927AD"/>
    <w:rsid w:val="3D830F51"/>
    <w:rsid w:val="3FFFAA99"/>
    <w:rsid w:val="40167D52"/>
    <w:rsid w:val="40B663BC"/>
    <w:rsid w:val="413B51E4"/>
    <w:rsid w:val="41CF1548"/>
    <w:rsid w:val="4620425A"/>
    <w:rsid w:val="4A2E7DF8"/>
    <w:rsid w:val="4A6B5FB6"/>
    <w:rsid w:val="4B9C0FC8"/>
    <w:rsid w:val="4C1F35CF"/>
    <w:rsid w:val="4CB803B2"/>
    <w:rsid w:val="4F1A4782"/>
    <w:rsid w:val="4FFE80B5"/>
    <w:rsid w:val="562D6844"/>
    <w:rsid w:val="5BBCCB9F"/>
    <w:rsid w:val="64E00E53"/>
    <w:rsid w:val="664026D2"/>
    <w:rsid w:val="693D57AA"/>
    <w:rsid w:val="6E5B03CF"/>
    <w:rsid w:val="6EB663DE"/>
    <w:rsid w:val="710B0879"/>
    <w:rsid w:val="731F7A1F"/>
    <w:rsid w:val="73F85B5B"/>
    <w:rsid w:val="74874EB1"/>
    <w:rsid w:val="7CFF019F"/>
    <w:rsid w:val="8FFE009E"/>
    <w:rsid w:val="AFBF7AEA"/>
    <w:rsid w:val="BB6D68B6"/>
    <w:rsid w:val="BEBF5EA5"/>
    <w:rsid w:val="BEF6F398"/>
    <w:rsid w:val="D6FFAECE"/>
    <w:rsid w:val="DFFAC2B0"/>
    <w:rsid w:val="E5693A2F"/>
    <w:rsid w:val="E6F78324"/>
    <w:rsid w:val="EFADFCB1"/>
    <w:rsid w:val="F77B69EB"/>
    <w:rsid w:val="F97F623E"/>
    <w:rsid w:val="FBE5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line="408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qFormat/>
    <w:uiPriority w:val="0"/>
    <w:pPr>
      <w:spacing w:after="120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9">
    <w:name w:val="Body Text First Indent"/>
    <w:basedOn w:val="3"/>
    <w:link w:val="15"/>
    <w:qFormat/>
    <w:uiPriority w:val="0"/>
    <w:pPr>
      <w:ind w:firstLine="420" w:firstLineChars="100"/>
    </w:pPr>
  </w:style>
  <w:style w:type="character" w:styleId="12">
    <w:name w:val="Strong"/>
    <w:qFormat/>
    <w:uiPriority w:val="99"/>
    <w:rPr>
      <w:b/>
      <w:bCs/>
    </w:rPr>
  </w:style>
  <w:style w:type="character" w:customStyle="1" w:styleId="13">
    <w:name w:val="Balloon Text Char"/>
    <w:link w:val="5"/>
    <w:qFormat/>
    <w:uiPriority w:val="0"/>
    <w:rPr>
      <w:kern w:val="2"/>
      <w:sz w:val="18"/>
      <w:szCs w:val="18"/>
    </w:rPr>
  </w:style>
  <w:style w:type="character" w:customStyle="1" w:styleId="14">
    <w:name w:val="Body Text Char"/>
    <w:link w:val="3"/>
    <w:qFormat/>
    <w:uiPriority w:val="0"/>
    <w:rPr>
      <w:kern w:val="2"/>
      <w:sz w:val="21"/>
      <w:szCs w:val="24"/>
    </w:rPr>
  </w:style>
  <w:style w:type="character" w:customStyle="1" w:styleId="15">
    <w:name w:val="Body Text First Indent Char"/>
    <w:link w:val="9"/>
    <w:qFormat/>
    <w:uiPriority w:val="0"/>
  </w:style>
  <w:style w:type="character" w:customStyle="1" w:styleId="16">
    <w:name w:val="Footer Char"/>
    <w:link w:val="6"/>
    <w:qFormat/>
    <w:uiPriority w:val="99"/>
    <w:rPr>
      <w:kern w:val="2"/>
      <w:sz w:val="18"/>
      <w:szCs w:val="18"/>
    </w:rPr>
  </w:style>
  <w:style w:type="character" w:customStyle="1" w:styleId="17">
    <w:name w:val="正文文本 Char1"/>
    <w:qFormat/>
    <w:uiPriority w:val="0"/>
    <w:rPr>
      <w:kern w:val="2"/>
      <w:sz w:val="21"/>
      <w:szCs w:val="24"/>
    </w:rPr>
  </w:style>
  <w:style w:type="paragraph" w:customStyle="1" w:styleId="18">
    <w:name w:val="Revision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Revision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">
    <w:name w:val="Revision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4720</Words>
  <Characters>4915</Characters>
  <Lines>28</Lines>
  <Paragraphs>8</Paragraphs>
  <TotalTime>61</TotalTime>
  <ScaleCrop>false</ScaleCrop>
  <LinksUpToDate>false</LinksUpToDate>
  <CharactersWithSpaces>4977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2023-06-25T20:21:00Z</dcterms:created>
  <dc:creator>dell</dc:creator>
  <cp:lastModifiedBy>毛星宁</cp:lastModifiedBy>
  <cp:lastPrinted>2018-10-03T02:47:00Z</cp:lastPrinted>
  <dcterms:modified xsi:type="dcterms:W3CDTF">2023-06-26T14:29:11Z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884362C79B4340C692609E5754FB496A</vt:lpwstr>
  </property>
</Properties>
</file>