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240" w:lineRule="auto"/>
        <w:jc w:val="center"/>
        <w:rPr>
          <w:rFonts w:ascii="宋体" w:hAnsi="宋体" w:eastAsia="宋体" w:cs="Times New Roman"/>
          <w:bCs w:val="0"/>
          <w:color w:val="auto"/>
          <w:kern w:val="0"/>
          <w:sz w:val="32"/>
          <w:szCs w:val="20"/>
        </w:rPr>
      </w:pPr>
      <w:r>
        <w:rPr>
          <w:rFonts w:hint="eastAsia" w:ascii="宋体" w:hAnsi="宋体" w:eastAsia="宋体" w:cs="Times New Roman"/>
          <w:bCs w:val="0"/>
          <w:color w:val="auto"/>
          <w:kern w:val="0"/>
          <w:sz w:val="32"/>
          <w:szCs w:val="20"/>
        </w:rPr>
        <w:t>四年制医学信息工程专业培养方案</w:t>
      </w:r>
    </w:p>
    <w:p>
      <w:pPr>
        <w:rPr>
          <w:color w:val="auto"/>
        </w:rPr>
      </w:pPr>
    </w:p>
    <w:p>
      <w:pPr>
        <w:rPr>
          <w:rFonts w:asciiTheme="minorEastAsia" w:hAnsiTheme="minorEastAsia"/>
          <w:b/>
          <w:color w:val="auto"/>
          <w:sz w:val="24"/>
          <w:szCs w:val="24"/>
        </w:rPr>
      </w:pPr>
      <w:r>
        <w:rPr>
          <w:rFonts w:hint="eastAsia" w:asciiTheme="minorEastAsia" w:hAnsiTheme="minorEastAsia"/>
          <w:b/>
          <w:color w:val="auto"/>
          <w:sz w:val="24"/>
          <w:szCs w:val="24"/>
        </w:rPr>
        <w:t>一、培养目标</w:t>
      </w:r>
    </w:p>
    <w:p>
      <w:pPr>
        <w:rPr>
          <w:rFonts w:asciiTheme="minorEastAsia" w:hAnsiTheme="minorEastAsia"/>
          <w:b/>
          <w:color w:val="auto"/>
          <w:sz w:val="24"/>
          <w:szCs w:val="24"/>
        </w:rPr>
      </w:pPr>
      <w:r>
        <w:rPr>
          <w:rFonts w:hint="eastAsia" w:asciiTheme="minorEastAsia" w:hAnsiTheme="minorEastAsia"/>
          <w:color w:val="auto"/>
          <w:sz w:val="24"/>
          <w:szCs w:val="24"/>
        </w:rPr>
        <w:tab/>
      </w:r>
      <w:r>
        <w:rPr>
          <w:rFonts w:hint="eastAsia" w:asciiTheme="minorEastAsia" w:hAnsiTheme="minorEastAsia"/>
          <w:color w:val="auto"/>
          <w:sz w:val="24"/>
          <w:szCs w:val="24"/>
        </w:rPr>
        <w:t>培养德智体美劳全面发展，适应我国卫生健康信息化建设</w:t>
      </w:r>
      <w:r>
        <w:rPr>
          <w:rFonts w:hint="eastAsia" w:asciiTheme="minorEastAsia" w:hAnsiTheme="minorEastAsia"/>
          <w:color w:val="auto"/>
          <w:sz w:val="24"/>
          <w:szCs w:val="24"/>
          <w:lang w:eastAsia="zh-Hans"/>
        </w:rPr>
        <w:t>、</w:t>
      </w:r>
      <w:r>
        <w:rPr>
          <w:rFonts w:hint="eastAsia" w:asciiTheme="minorEastAsia" w:hAnsiTheme="minorEastAsia"/>
          <w:color w:val="auto"/>
          <w:sz w:val="24"/>
          <w:szCs w:val="24"/>
        </w:rPr>
        <w:t>健康医疗大数据</w:t>
      </w:r>
      <w:r>
        <w:rPr>
          <w:rFonts w:hint="eastAsia" w:asciiTheme="minorEastAsia" w:hAnsiTheme="minorEastAsia"/>
          <w:color w:val="auto"/>
          <w:sz w:val="24"/>
          <w:szCs w:val="24"/>
          <w:lang w:val="en-US" w:eastAsia="zh-Hans"/>
        </w:rPr>
        <w:t>和医学人工智能</w:t>
      </w:r>
      <w:r>
        <w:rPr>
          <w:rFonts w:hint="eastAsia" w:asciiTheme="minorEastAsia" w:hAnsiTheme="minorEastAsia"/>
          <w:color w:val="auto"/>
          <w:sz w:val="24"/>
          <w:szCs w:val="24"/>
        </w:rPr>
        <w:t>应用发展需要的复合型高级专业技术人才。应掌握基础医学、计算机机科学及信息学知识，熟悉健康医疗业务流程，具有医学信息系统开发</w:t>
      </w:r>
      <w:r>
        <w:rPr>
          <w:rFonts w:hint="eastAsia" w:asciiTheme="minorEastAsia" w:hAnsiTheme="minorEastAsia"/>
          <w:color w:val="auto"/>
          <w:sz w:val="24"/>
          <w:szCs w:val="24"/>
          <w:lang w:eastAsia="zh-Hans"/>
        </w:rPr>
        <w:t>、</w:t>
      </w:r>
      <w:r>
        <w:rPr>
          <w:rFonts w:hint="eastAsia" w:asciiTheme="minorEastAsia" w:hAnsiTheme="minorEastAsia"/>
          <w:color w:val="auto"/>
          <w:sz w:val="24"/>
          <w:szCs w:val="24"/>
          <w:lang w:val="en-US" w:eastAsia="zh-Hans"/>
        </w:rPr>
        <w:t>医疗仪器设计、智能医疗及</w:t>
      </w:r>
      <w:r>
        <w:rPr>
          <w:rFonts w:hint="eastAsia" w:asciiTheme="minorEastAsia" w:hAnsiTheme="minorEastAsia"/>
          <w:color w:val="auto"/>
          <w:sz w:val="24"/>
          <w:szCs w:val="24"/>
        </w:rPr>
        <w:t>大数据分析能力，具备较高的政治素质、道德修养、人文素养及职业素养，良好的身心素质和团队合作精神。</w:t>
      </w:r>
    </w:p>
    <w:p>
      <w:pPr>
        <w:rPr>
          <w:rFonts w:asciiTheme="minorEastAsia" w:hAnsiTheme="minorEastAsia"/>
          <w:b/>
          <w:color w:val="auto"/>
          <w:sz w:val="24"/>
          <w:szCs w:val="24"/>
        </w:rPr>
      </w:pPr>
      <w:r>
        <w:rPr>
          <w:rFonts w:hint="eastAsia" w:asciiTheme="minorEastAsia" w:hAnsiTheme="minorEastAsia"/>
          <w:b/>
          <w:color w:val="auto"/>
          <w:sz w:val="24"/>
          <w:szCs w:val="24"/>
        </w:rPr>
        <w:t>二、培养要求</w:t>
      </w:r>
    </w:p>
    <w:p>
      <w:pPr>
        <w:rPr>
          <w:rFonts w:asciiTheme="minorEastAsia" w:hAnsiTheme="minorEastAsia"/>
          <w:color w:val="auto"/>
          <w:sz w:val="24"/>
          <w:szCs w:val="24"/>
        </w:rPr>
      </w:pPr>
      <w:r>
        <w:rPr>
          <w:rFonts w:hint="eastAsia" w:asciiTheme="minorEastAsia" w:hAnsiTheme="minorEastAsia"/>
          <w:color w:val="auto"/>
          <w:sz w:val="24"/>
          <w:szCs w:val="24"/>
        </w:rPr>
        <w:tab/>
      </w:r>
      <w:r>
        <w:rPr>
          <w:rFonts w:hint="eastAsia" w:asciiTheme="minorEastAsia" w:hAnsiTheme="minorEastAsia"/>
          <w:color w:val="auto"/>
          <w:sz w:val="24"/>
          <w:szCs w:val="24"/>
        </w:rPr>
        <w:t>（一）思想道德与职业素质目标</w:t>
      </w:r>
    </w:p>
    <w:p>
      <w:pPr>
        <w:rPr>
          <w:rFonts w:asciiTheme="minorEastAsia" w:hAnsiTheme="minorEastAsia"/>
          <w:color w:val="auto"/>
          <w:sz w:val="24"/>
          <w:szCs w:val="24"/>
        </w:rPr>
      </w:pPr>
      <w:r>
        <w:rPr>
          <w:rFonts w:hint="eastAsia" w:asciiTheme="minorEastAsia" w:hAnsiTheme="minorEastAsia"/>
          <w:color w:val="auto"/>
          <w:sz w:val="24"/>
          <w:szCs w:val="24"/>
        </w:rPr>
        <w:tab/>
      </w:r>
      <w:r>
        <w:rPr>
          <w:rFonts w:hint="eastAsia" w:asciiTheme="minorEastAsia" w:hAnsiTheme="minorEastAsia"/>
          <w:color w:val="auto"/>
          <w:sz w:val="24"/>
          <w:szCs w:val="24"/>
        </w:rPr>
        <w:t>1.热爱祖国，具有高尚的民族气节、良好的道德品质和中华民族的传统美德，具有全心全意地为人民服务和为社会主义建设服务的意愿；</w:t>
      </w:r>
    </w:p>
    <w:p>
      <w:pPr>
        <w:rPr>
          <w:rFonts w:asciiTheme="minorEastAsia" w:hAnsiTheme="minorEastAsia"/>
          <w:color w:val="auto"/>
          <w:sz w:val="24"/>
          <w:szCs w:val="24"/>
        </w:rPr>
      </w:pPr>
      <w:r>
        <w:rPr>
          <w:rFonts w:hint="eastAsia" w:asciiTheme="minorEastAsia" w:hAnsiTheme="minorEastAsia"/>
          <w:color w:val="auto"/>
          <w:sz w:val="24"/>
          <w:szCs w:val="24"/>
        </w:rPr>
        <w:tab/>
      </w:r>
      <w:r>
        <w:rPr>
          <w:rFonts w:hint="eastAsia" w:asciiTheme="minorEastAsia" w:hAnsiTheme="minorEastAsia"/>
          <w:color w:val="auto"/>
          <w:sz w:val="24"/>
          <w:szCs w:val="24"/>
        </w:rPr>
        <w:t>2.具有强烈的法律意识和法制观念，树立科学的世界观、人生观、价值观和社会主义荣辱观；</w:t>
      </w:r>
    </w:p>
    <w:p>
      <w:pPr>
        <w:rPr>
          <w:rFonts w:asciiTheme="minorEastAsia" w:hAnsiTheme="minorEastAsia"/>
          <w:color w:val="auto"/>
          <w:sz w:val="24"/>
          <w:szCs w:val="24"/>
        </w:rPr>
      </w:pPr>
      <w:r>
        <w:rPr>
          <w:rFonts w:hint="eastAsia" w:asciiTheme="minorEastAsia" w:hAnsiTheme="minorEastAsia"/>
          <w:color w:val="auto"/>
          <w:sz w:val="24"/>
          <w:szCs w:val="24"/>
        </w:rPr>
        <w:tab/>
      </w:r>
      <w:r>
        <w:rPr>
          <w:rFonts w:hint="eastAsia" w:asciiTheme="minorEastAsia" w:hAnsiTheme="minorEastAsia"/>
          <w:color w:val="auto"/>
          <w:sz w:val="24"/>
          <w:szCs w:val="24"/>
        </w:rPr>
        <w:t>3.具有独立人格，自由思想，具有集体荣誉感和团队协作精神，树立终身学习观念，不断追求卓越；</w:t>
      </w:r>
    </w:p>
    <w:p>
      <w:pPr>
        <w:rPr>
          <w:rFonts w:asciiTheme="minorEastAsia" w:hAnsiTheme="minorEastAsia"/>
          <w:color w:val="auto"/>
          <w:sz w:val="24"/>
          <w:szCs w:val="24"/>
        </w:rPr>
      </w:pPr>
      <w:r>
        <w:rPr>
          <w:rFonts w:hint="eastAsia" w:asciiTheme="minorEastAsia" w:hAnsiTheme="minorEastAsia"/>
          <w:color w:val="auto"/>
          <w:sz w:val="24"/>
          <w:szCs w:val="24"/>
        </w:rPr>
        <w:tab/>
      </w:r>
      <w:r>
        <w:rPr>
          <w:rFonts w:hint="eastAsia" w:asciiTheme="minorEastAsia" w:hAnsiTheme="minorEastAsia"/>
          <w:color w:val="auto"/>
          <w:sz w:val="24"/>
          <w:szCs w:val="24"/>
        </w:rPr>
        <w:t>4.具有较好的文化素养和文学艺术修养；</w:t>
      </w:r>
    </w:p>
    <w:p>
      <w:pPr>
        <w:rPr>
          <w:rFonts w:asciiTheme="minorEastAsia" w:hAnsiTheme="minorEastAsia"/>
          <w:color w:val="auto"/>
          <w:sz w:val="24"/>
          <w:szCs w:val="24"/>
        </w:rPr>
      </w:pPr>
      <w:r>
        <w:rPr>
          <w:rFonts w:hint="eastAsia" w:asciiTheme="minorEastAsia" w:hAnsiTheme="minorEastAsia"/>
          <w:color w:val="auto"/>
          <w:sz w:val="24"/>
          <w:szCs w:val="24"/>
        </w:rPr>
        <w:tab/>
      </w:r>
      <w:r>
        <w:rPr>
          <w:rFonts w:hint="eastAsia" w:asciiTheme="minorEastAsia" w:hAnsiTheme="minorEastAsia"/>
          <w:color w:val="auto"/>
          <w:sz w:val="24"/>
          <w:szCs w:val="24"/>
        </w:rPr>
        <w:t>5.具有勤奋进取、求实创新的科学精神；</w:t>
      </w:r>
    </w:p>
    <w:p>
      <w:pPr>
        <w:rPr>
          <w:rFonts w:asciiTheme="minorEastAsia" w:hAnsiTheme="minorEastAsia"/>
          <w:color w:val="auto"/>
          <w:sz w:val="24"/>
          <w:szCs w:val="24"/>
        </w:rPr>
      </w:pPr>
      <w:r>
        <w:rPr>
          <w:rFonts w:hint="eastAsia" w:asciiTheme="minorEastAsia" w:hAnsiTheme="minorEastAsia"/>
          <w:color w:val="auto"/>
          <w:sz w:val="24"/>
          <w:szCs w:val="24"/>
        </w:rPr>
        <w:tab/>
      </w:r>
      <w:r>
        <w:rPr>
          <w:rFonts w:hint="eastAsia" w:asciiTheme="minorEastAsia" w:hAnsiTheme="minorEastAsia"/>
          <w:color w:val="auto"/>
          <w:sz w:val="24"/>
          <w:szCs w:val="24"/>
        </w:rPr>
        <w:t>6.具有科学的思维和研究方法；</w:t>
      </w:r>
    </w:p>
    <w:p>
      <w:pPr>
        <w:rPr>
          <w:rFonts w:asciiTheme="minorEastAsia" w:hAnsiTheme="minorEastAsia"/>
          <w:color w:val="auto"/>
          <w:sz w:val="24"/>
          <w:szCs w:val="24"/>
        </w:rPr>
      </w:pPr>
      <w:r>
        <w:rPr>
          <w:rFonts w:hint="eastAsia" w:asciiTheme="minorEastAsia" w:hAnsiTheme="minorEastAsia"/>
          <w:color w:val="auto"/>
          <w:sz w:val="24"/>
          <w:szCs w:val="24"/>
        </w:rPr>
        <w:tab/>
      </w:r>
      <w:r>
        <w:rPr>
          <w:rFonts w:hint="eastAsia" w:asciiTheme="minorEastAsia" w:hAnsiTheme="minorEastAsia"/>
          <w:color w:val="auto"/>
          <w:sz w:val="24"/>
          <w:szCs w:val="24"/>
        </w:rPr>
        <w:t>7.具有健全的心理和健康的体魄。</w:t>
      </w:r>
    </w:p>
    <w:p>
      <w:pPr>
        <w:rPr>
          <w:rFonts w:asciiTheme="minorEastAsia" w:hAnsiTheme="minorEastAsia"/>
          <w:color w:val="auto"/>
          <w:sz w:val="24"/>
          <w:szCs w:val="24"/>
        </w:rPr>
      </w:pPr>
      <w:r>
        <w:rPr>
          <w:rFonts w:hint="eastAsia" w:asciiTheme="minorEastAsia" w:hAnsiTheme="minorEastAsia"/>
          <w:color w:val="auto"/>
          <w:sz w:val="24"/>
          <w:szCs w:val="24"/>
        </w:rPr>
        <w:tab/>
      </w:r>
      <w:r>
        <w:rPr>
          <w:rFonts w:hint="eastAsia" w:asciiTheme="minorEastAsia" w:hAnsiTheme="minorEastAsia"/>
          <w:color w:val="auto"/>
          <w:sz w:val="24"/>
          <w:szCs w:val="24"/>
        </w:rPr>
        <w:t>（二）知识目标</w:t>
      </w:r>
    </w:p>
    <w:p>
      <w:pPr>
        <w:ind w:firstLine="420"/>
        <w:rPr>
          <w:rFonts w:asciiTheme="minorEastAsia" w:hAnsiTheme="minorEastAsia"/>
          <w:color w:val="auto"/>
          <w:sz w:val="24"/>
          <w:szCs w:val="24"/>
        </w:rPr>
      </w:pPr>
      <w:r>
        <w:rPr>
          <w:rFonts w:asciiTheme="minorEastAsia" w:hAnsiTheme="minorEastAsia"/>
          <w:color w:val="auto"/>
          <w:sz w:val="24"/>
          <w:szCs w:val="24"/>
        </w:rPr>
        <w:t>1</w:t>
      </w:r>
      <w:r>
        <w:rPr>
          <w:rFonts w:hint="eastAsia" w:asciiTheme="minorEastAsia" w:hAnsiTheme="minorEastAsia"/>
          <w:color w:val="auto"/>
          <w:sz w:val="24"/>
          <w:szCs w:val="24"/>
        </w:rPr>
        <w:t>.</w:t>
      </w:r>
      <w:r>
        <w:rPr>
          <w:rFonts w:asciiTheme="minorEastAsia" w:hAnsiTheme="minorEastAsia"/>
          <w:color w:val="auto"/>
          <w:sz w:val="24"/>
          <w:szCs w:val="24"/>
        </w:rPr>
        <w:t>掌握医学相关基础知识，了解人体的正常结构和功能、疾病学基础、临床医学相关知识；</w:t>
      </w:r>
    </w:p>
    <w:p>
      <w:pPr>
        <w:ind w:firstLine="420"/>
        <w:rPr>
          <w:rFonts w:asciiTheme="minorEastAsia" w:hAnsiTheme="minorEastAsia"/>
          <w:color w:val="auto"/>
          <w:sz w:val="24"/>
          <w:szCs w:val="24"/>
        </w:rPr>
      </w:pPr>
      <w:r>
        <w:rPr>
          <w:rFonts w:asciiTheme="minorEastAsia" w:hAnsiTheme="minorEastAsia"/>
          <w:color w:val="auto"/>
          <w:sz w:val="24"/>
          <w:szCs w:val="24"/>
        </w:rPr>
        <w:t>2</w:t>
      </w:r>
      <w:r>
        <w:rPr>
          <w:rFonts w:hint="eastAsia" w:asciiTheme="minorEastAsia" w:hAnsiTheme="minorEastAsia"/>
          <w:color w:val="auto"/>
          <w:sz w:val="24"/>
          <w:szCs w:val="24"/>
        </w:rPr>
        <w:t>.</w:t>
      </w:r>
      <w:r>
        <w:rPr>
          <w:rFonts w:asciiTheme="minorEastAsia" w:hAnsiTheme="minorEastAsia"/>
          <w:color w:val="auto"/>
          <w:sz w:val="24"/>
          <w:szCs w:val="24"/>
        </w:rPr>
        <w:t>熟悉</w:t>
      </w:r>
      <w:r>
        <w:rPr>
          <w:rFonts w:hint="eastAsia" w:asciiTheme="minorEastAsia" w:hAnsiTheme="minorEastAsia"/>
          <w:color w:val="auto"/>
          <w:sz w:val="24"/>
          <w:szCs w:val="24"/>
        </w:rPr>
        <w:t>医疗业务</w:t>
      </w:r>
      <w:r>
        <w:rPr>
          <w:rFonts w:asciiTheme="minorEastAsia" w:hAnsiTheme="minorEastAsia"/>
          <w:color w:val="auto"/>
          <w:sz w:val="24"/>
          <w:szCs w:val="24"/>
        </w:rPr>
        <w:t>流程和主流的医</w:t>
      </w:r>
      <w:r>
        <w:rPr>
          <w:rFonts w:hint="eastAsia" w:asciiTheme="minorEastAsia" w:hAnsiTheme="minorEastAsia"/>
          <w:color w:val="auto"/>
          <w:sz w:val="24"/>
          <w:szCs w:val="24"/>
        </w:rPr>
        <w:t>学</w:t>
      </w:r>
      <w:r>
        <w:rPr>
          <w:rFonts w:asciiTheme="minorEastAsia" w:hAnsiTheme="minorEastAsia"/>
          <w:color w:val="auto"/>
          <w:sz w:val="24"/>
          <w:szCs w:val="24"/>
        </w:rPr>
        <w:t>信息系统；</w:t>
      </w:r>
    </w:p>
    <w:p>
      <w:pPr>
        <w:ind w:firstLine="420"/>
        <w:rPr>
          <w:rFonts w:asciiTheme="minorEastAsia" w:hAnsiTheme="minorEastAsia"/>
          <w:color w:val="auto"/>
          <w:sz w:val="24"/>
          <w:szCs w:val="24"/>
        </w:rPr>
      </w:pPr>
      <w:r>
        <w:rPr>
          <w:rFonts w:asciiTheme="minorEastAsia" w:hAnsiTheme="minorEastAsia"/>
          <w:color w:val="auto"/>
          <w:sz w:val="24"/>
          <w:szCs w:val="24"/>
        </w:rPr>
        <w:t>3</w:t>
      </w:r>
      <w:r>
        <w:rPr>
          <w:rFonts w:hint="eastAsia" w:asciiTheme="minorEastAsia" w:hAnsiTheme="minorEastAsia"/>
          <w:color w:val="auto"/>
          <w:sz w:val="24"/>
          <w:szCs w:val="24"/>
        </w:rPr>
        <w:t>.</w:t>
      </w:r>
      <w:r>
        <w:rPr>
          <w:rFonts w:asciiTheme="minorEastAsia" w:hAnsiTheme="minorEastAsia"/>
          <w:color w:val="auto"/>
          <w:sz w:val="24"/>
          <w:szCs w:val="24"/>
        </w:rPr>
        <w:t>掌握数学、物理基本理论和研究方法；</w:t>
      </w:r>
    </w:p>
    <w:p>
      <w:pPr>
        <w:ind w:firstLine="420"/>
        <w:rPr>
          <w:rFonts w:asciiTheme="minorEastAsia" w:hAnsiTheme="minorEastAsia"/>
          <w:color w:val="auto"/>
          <w:sz w:val="24"/>
          <w:szCs w:val="24"/>
        </w:rPr>
      </w:pPr>
      <w:r>
        <w:rPr>
          <w:rFonts w:asciiTheme="minorEastAsia" w:hAnsiTheme="minorEastAsia"/>
          <w:color w:val="auto"/>
          <w:sz w:val="24"/>
          <w:szCs w:val="24"/>
        </w:rPr>
        <w:t>4</w:t>
      </w:r>
      <w:r>
        <w:rPr>
          <w:rFonts w:hint="eastAsia" w:asciiTheme="minorEastAsia" w:hAnsiTheme="minorEastAsia"/>
          <w:color w:val="auto"/>
          <w:sz w:val="24"/>
          <w:szCs w:val="24"/>
        </w:rPr>
        <w:t>.</w:t>
      </w:r>
      <w:r>
        <w:rPr>
          <w:rFonts w:asciiTheme="minorEastAsia" w:hAnsiTheme="minorEastAsia"/>
          <w:color w:val="auto"/>
          <w:sz w:val="24"/>
          <w:szCs w:val="24"/>
        </w:rPr>
        <w:t>掌握程序设计语言，熟悉</w:t>
      </w:r>
      <w:r>
        <w:rPr>
          <w:rFonts w:hint="eastAsia" w:asciiTheme="minorEastAsia" w:hAnsiTheme="minorEastAsia"/>
          <w:color w:val="auto"/>
          <w:sz w:val="24"/>
          <w:szCs w:val="24"/>
          <w:lang w:val="en-US" w:eastAsia="zh-Hans"/>
        </w:rPr>
        <w:t>软件开发和</w:t>
      </w:r>
      <w:r>
        <w:rPr>
          <w:rFonts w:asciiTheme="minorEastAsia" w:hAnsiTheme="minorEastAsia"/>
          <w:color w:val="auto"/>
          <w:sz w:val="24"/>
          <w:szCs w:val="24"/>
        </w:rPr>
        <w:t>网络编程；</w:t>
      </w:r>
    </w:p>
    <w:p>
      <w:pPr>
        <w:ind w:firstLine="420"/>
        <w:rPr>
          <w:rFonts w:asciiTheme="minorEastAsia" w:hAnsiTheme="minorEastAsia"/>
          <w:color w:val="auto"/>
          <w:sz w:val="24"/>
          <w:szCs w:val="24"/>
        </w:rPr>
      </w:pPr>
      <w:r>
        <w:rPr>
          <w:rFonts w:asciiTheme="minorEastAsia" w:hAnsiTheme="minorEastAsia"/>
          <w:color w:val="auto"/>
          <w:sz w:val="24"/>
          <w:szCs w:val="24"/>
        </w:rPr>
        <w:t>5</w:t>
      </w:r>
      <w:r>
        <w:rPr>
          <w:rFonts w:hint="eastAsia" w:asciiTheme="minorEastAsia" w:hAnsiTheme="minorEastAsia"/>
          <w:color w:val="auto"/>
          <w:sz w:val="24"/>
          <w:szCs w:val="24"/>
        </w:rPr>
        <w:t>.</w:t>
      </w:r>
      <w:r>
        <w:rPr>
          <w:rFonts w:asciiTheme="minorEastAsia" w:hAnsiTheme="minorEastAsia"/>
          <w:color w:val="auto"/>
          <w:sz w:val="24"/>
          <w:szCs w:val="24"/>
        </w:rPr>
        <w:t>掌握数据库原理，具备基于数据库的软件开发能力；</w:t>
      </w:r>
    </w:p>
    <w:p>
      <w:pPr>
        <w:ind w:firstLine="420"/>
        <w:rPr>
          <w:rFonts w:asciiTheme="minorEastAsia" w:hAnsiTheme="minorEastAsia"/>
          <w:color w:val="auto"/>
          <w:sz w:val="24"/>
          <w:szCs w:val="24"/>
        </w:rPr>
      </w:pPr>
      <w:r>
        <w:rPr>
          <w:rFonts w:asciiTheme="minorEastAsia" w:hAnsiTheme="minorEastAsia"/>
          <w:color w:val="auto"/>
          <w:sz w:val="24"/>
          <w:szCs w:val="24"/>
        </w:rPr>
        <w:t>6</w:t>
      </w:r>
      <w:r>
        <w:rPr>
          <w:rFonts w:hint="eastAsia" w:asciiTheme="minorEastAsia" w:hAnsiTheme="minorEastAsia"/>
          <w:color w:val="auto"/>
          <w:sz w:val="24"/>
          <w:szCs w:val="24"/>
        </w:rPr>
        <w:t>.</w:t>
      </w:r>
      <w:r>
        <w:rPr>
          <w:rFonts w:asciiTheme="minorEastAsia" w:hAnsiTheme="minorEastAsia"/>
          <w:color w:val="auto"/>
          <w:sz w:val="24"/>
          <w:szCs w:val="24"/>
        </w:rPr>
        <w:t>掌握网络技术，</w:t>
      </w:r>
      <w:r>
        <w:rPr>
          <w:rFonts w:hint="eastAsia" w:asciiTheme="minorEastAsia" w:hAnsiTheme="minorEastAsia"/>
          <w:color w:val="auto"/>
          <w:sz w:val="24"/>
          <w:szCs w:val="24"/>
          <w:lang w:val="en-US" w:eastAsia="zh-Hans"/>
        </w:rPr>
        <w:t>具备</w:t>
      </w:r>
      <w:r>
        <w:rPr>
          <w:rFonts w:asciiTheme="minorEastAsia" w:hAnsiTheme="minorEastAsia"/>
          <w:color w:val="auto"/>
          <w:sz w:val="24"/>
          <w:szCs w:val="24"/>
        </w:rPr>
        <w:t>网络管理</w:t>
      </w:r>
      <w:r>
        <w:rPr>
          <w:rFonts w:hint="eastAsia" w:asciiTheme="minorEastAsia" w:hAnsiTheme="minorEastAsia"/>
          <w:color w:val="auto"/>
          <w:sz w:val="24"/>
          <w:szCs w:val="24"/>
          <w:lang w:eastAsia="zh-Hans"/>
        </w:rPr>
        <w:t>、</w:t>
      </w:r>
      <w:r>
        <w:rPr>
          <w:rFonts w:asciiTheme="minorEastAsia" w:hAnsiTheme="minorEastAsia"/>
          <w:color w:val="auto"/>
          <w:sz w:val="24"/>
          <w:szCs w:val="24"/>
        </w:rPr>
        <w:t>网络维护</w:t>
      </w:r>
      <w:r>
        <w:rPr>
          <w:rFonts w:hint="eastAsia" w:asciiTheme="minorEastAsia" w:hAnsiTheme="minorEastAsia"/>
          <w:color w:val="auto"/>
          <w:sz w:val="24"/>
          <w:szCs w:val="24"/>
          <w:lang w:val="en-US" w:eastAsia="zh-Hans"/>
        </w:rPr>
        <w:t>及医院组网能力</w:t>
      </w:r>
      <w:r>
        <w:rPr>
          <w:rFonts w:asciiTheme="minorEastAsia" w:hAnsiTheme="minorEastAsia"/>
          <w:color w:val="auto"/>
          <w:sz w:val="24"/>
          <w:szCs w:val="24"/>
        </w:rPr>
        <w:t>；</w:t>
      </w:r>
    </w:p>
    <w:p>
      <w:pPr>
        <w:ind w:firstLine="420"/>
        <w:rPr>
          <w:rFonts w:asciiTheme="minorEastAsia" w:hAnsiTheme="minorEastAsia"/>
          <w:color w:val="auto"/>
          <w:sz w:val="24"/>
          <w:szCs w:val="24"/>
        </w:rPr>
      </w:pPr>
      <w:r>
        <w:rPr>
          <w:rFonts w:asciiTheme="minorEastAsia" w:hAnsiTheme="minorEastAsia"/>
          <w:color w:val="auto"/>
          <w:sz w:val="24"/>
          <w:szCs w:val="24"/>
        </w:rPr>
        <w:t>7</w:t>
      </w:r>
      <w:r>
        <w:rPr>
          <w:rFonts w:hint="eastAsia" w:asciiTheme="minorEastAsia" w:hAnsiTheme="minorEastAsia"/>
          <w:color w:val="auto"/>
          <w:sz w:val="24"/>
          <w:szCs w:val="24"/>
        </w:rPr>
        <w:t>.</w:t>
      </w:r>
      <w:r>
        <w:rPr>
          <w:rFonts w:asciiTheme="minorEastAsia" w:hAnsiTheme="minorEastAsia"/>
          <w:color w:val="auto"/>
          <w:sz w:val="24"/>
          <w:szCs w:val="24"/>
        </w:rPr>
        <w:t>掌握电子技术、单片机原理的基本知识与原理，了解医疗仪器原理等知识，熟悉医疗物联网相关技术；</w:t>
      </w:r>
    </w:p>
    <w:p>
      <w:pPr>
        <w:rPr>
          <w:rFonts w:asciiTheme="minorEastAsia" w:hAnsiTheme="minorEastAsia"/>
          <w:color w:val="auto"/>
          <w:sz w:val="24"/>
          <w:szCs w:val="24"/>
        </w:rPr>
      </w:pPr>
      <w:r>
        <w:rPr>
          <w:rFonts w:hint="eastAsia" w:asciiTheme="minorEastAsia" w:hAnsiTheme="minorEastAsia"/>
          <w:color w:val="auto"/>
          <w:sz w:val="24"/>
          <w:szCs w:val="24"/>
        </w:rPr>
        <w:tab/>
      </w:r>
      <w:r>
        <w:rPr>
          <w:rFonts w:hint="eastAsia" w:asciiTheme="minorEastAsia" w:hAnsiTheme="minorEastAsia"/>
          <w:color w:val="auto"/>
          <w:sz w:val="24"/>
          <w:szCs w:val="24"/>
        </w:rPr>
        <w:t>（三）技能目标</w:t>
      </w:r>
    </w:p>
    <w:p>
      <w:pPr>
        <w:ind w:firstLine="420"/>
        <w:rPr>
          <w:rFonts w:asciiTheme="minorEastAsia" w:hAnsiTheme="minorEastAsia"/>
          <w:color w:val="auto"/>
          <w:sz w:val="24"/>
          <w:szCs w:val="24"/>
        </w:rPr>
      </w:pPr>
      <w:r>
        <w:rPr>
          <w:rFonts w:hint="eastAsia" w:asciiTheme="minorEastAsia" w:hAnsiTheme="minorEastAsia"/>
          <w:color w:val="auto"/>
          <w:sz w:val="24"/>
          <w:szCs w:val="24"/>
        </w:rPr>
        <w:t>1.具有人际交往意识和初步的人际交往能力，具有口头与文字表达能力，具有独立思考问题、分析问题、解决问题的能力，具有与医护人员和软件开发团队有效交流的能力；</w:t>
      </w:r>
    </w:p>
    <w:p>
      <w:pPr>
        <w:ind w:firstLine="420"/>
        <w:rPr>
          <w:rFonts w:asciiTheme="minorEastAsia" w:hAnsiTheme="minorEastAsia"/>
          <w:color w:val="auto"/>
          <w:sz w:val="24"/>
          <w:szCs w:val="24"/>
        </w:rPr>
      </w:pPr>
      <w:r>
        <w:rPr>
          <w:rFonts w:hint="eastAsia" w:asciiTheme="minorEastAsia" w:hAnsiTheme="minorEastAsia"/>
          <w:color w:val="auto"/>
          <w:sz w:val="24"/>
          <w:szCs w:val="24"/>
        </w:rPr>
        <w:t>2.具有创新意识和创新精神，具有终身学习的意识，具有自学能力，具有持续学习和计划行动的能力；</w:t>
      </w:r>
    </w:p>
    <w:p>
      <w:pPr>
        <w:ind w:firstLine="420"/>
        <w:rPr>
          <w:rFonts w:asciiTheme="minorEastAsia" w:hAnsiTheme="minorEastAsia"/>
          <w:color w:val="auto"/>
          <w:sz w:val="24"/>
          <w:szCs w:val="24"/>
        </w:rPr>
      </w:pPr>
      <w:r>
        <w:rPr>
          <w:rFonts w:hint="eastAsia" w:asciiTheme="minorEastAsia" w:hAnsiTheme="minorEastAsia"/>
          <w:color w:val="auto"/>
          <w:sz w:val="24"/>
          <w:szCs w:val="24"/>
        </w:rPr>
        <w:t>3.具有办公软件操作能力，具有计算机软硬件安装、维护能力，具有网络管理与维护、网站建设、信息安全管理的能力，具有程序设计的能力；</w:t>
      </w:r>
    </w:p>
    <w:p>
      <w:pPr>
        <w:ind w:firstLine="420"/>
        <w:rPr>
          <w:rFonts w:asciiTheme="minorEastAsia" w:hAnsiTheme="minorEastAsia"/>
          <w:color w:val="auto"/>
          <w:sz w:val="24"/>
          <w:szCs w:val="24"/>
        </w:rPr>
      </w:pPr>
      <w:r>
        <w:rPr>
          <w:rFonts w:hint="eastAsia" w:asciiTheme="minorEastAsia" w:hAnsiTheme="minorEastAsia"/>
          <w:color w:val="auto"/>
          <w:sz w:val="24"/>
          <w:szCs w:val="24"/>
        </w:rPr>
        <w:t>4.具有医学信息系统术开发设计能力；</w:t>
      </w:r>
    </w:p>
    <w:p>
      <w:pPr>
        <w:ind w:firstLine="420"/>
        <w:rPr>
          <w:rFonts w:asciiTheme="minorEastAsia" w:hAnsiTheme="minorEastAsia"/>
          <w:color w:val="auto"/>
          <w:sz w:val="24"/>
          <w:szCs w:val="24"/>
        </w:rPr>
      </w:pPr>
      <w:r>
        <w:rPr>
          <w:rFonts w:hint="eastAsia" w:asciiTheme="minorEastAsia" w:hAnsiTheme="minorEastAsia"/>
          <w:color w:val="auto"/>
          <w:sz w:val="24"/>
          <w:szCs w:val="24"/>
        </w:rPr>
        <w:t>5.具有能够独立利用图书资料和现代信息技术研究问题及获取新知识与相关信息，能用一门外语阅读文献的能力，具有初步的外语译、写、听、说能力；</w:t>
      </w:r>
    </w:p>
    <w:p>
      <w:pPr>
        <w:ind w:firstLine="420" w:firstLineChars="0"/>
        <w:rPr>
          <w:rFonts w:hint="eastAsia" w:asciiTheme="minorEastAsia" w:hAnsiTheme="minorEastAsia"/>
          <w:color w:val="auto"/>
          <w:sz w:val="24"/>
          <w:szCs w:val="24"/>
        </w:rPr>
      </w:pPr>
      <w:r>
        <w:rPr>
          <w:rFonts w:hint="eastAsia" w:asciiTheme="minorEastAsia" w:hAnsiTheme="minorEastAsia"/>
          <w:color w:val="auto"/>
          <w:sz w:val="24"/>
          <w:szCs w:val="24"/>
        </w:rPr>
        <w:t>6.具有基本的数据分析能力，具备初步的医疗大数据挖掘能力。</w:t>
      </w:r>
    </w:p>
    <w:p>
      <w:pPr>
        <w:ind w:firstLine="420" w:firstLineChars="0"/>
        <w:rPr>
          <w:rFonts w:hint="eastAsia" w:asciiTheme="minorEastAsia" w:hAnsiTheme="minorEastAsia"/>
          <w:color w:val="auto"/>
          <w:sz w:val="24"/>
          <w:szCs w:val="24"/>
        </w:rPr>
      </w:pPr>
      <w:r>
        <w:rPr>
          <w:rFonts w:hint="default" w:asciiTheme="minorEastAsia" w:hAnsiTheme="minorEastAsia"/>
          <w:color w:val="auto"/>
          <w:sz w:val="24"/>
          <w:szCs w:val="24"/>
        </w:rPr>
        <w:t>7.</w:t>
      </w:r>
      <w:r>
        <w:rPr>
          <w:rFonts w:hint="eastAsia" w:asciiTheme="minorEastAsia" w:hAnsiTheme="minorEastAsia"/>
          <w:color w:val="auto"/>
          <w:sz w:val="24"/>
          <w:szCs w:val="24"/>
          <w:lang w:val="en-US" w:eastAsia="zh-Hans"/>
        </w:rPr>
        <w:t>具有人工智能应用技术，能开展智能医学领域的研究与应用。</w:t>
      </w:r>
    </w:p>
    <w:p>
      <w:pPr>
        <w:rPr>
          <w:rFonts w:asciiTheme="minorEastAsia" w:hAnsiTheme="minorEastAsia"/>
          <w:b/>
          <w:color w:val="auto"/>
          <w:sz w:val="24"/>
          <w:szCs w:val="24"/>
        </w:rPr>
      </w:pPr>
      <w:r>
        <w:rPr>
          <w:rFonts w:hint="eastAsia" w:asciiTheme="minorEastAsia" w:hAnsiTheme="minorEastAsia"/>
          <w:b/>
          <w:color w:val="auto"/>
          <w:sz w:val="24"/>
          <w:szCs w:val="24"/>
        </w:rPr>
        <w:t>三、主干学科和主要课程</w:t>
      </w:r>
    </w:p>
    <w:p>
      <w:pPr>
        <w:ind w:firstLine="420"/>
        <w:rPr>
          <w:rFonts w:asciiTheme="minorEastAsia" w:hAnsiTheme="minorEastAsia"/>
          <w:color w:val="auto"/>
          <w:sz w:val="24"/>
          <w:szCs w:val="24"/>
        </w:rPr>
      </w:pPr>
      <w:r>
        <w:rPr>
          <w:rFonts w:hint="eastAsia" w:asciiTheme="minorEastAsia" w:hAnsiTheme="minorEastAsia"/>
          <w:color w:val="auto"/>
          <w:sz w:val="24"/>
          <w:szCs w:val="24"/>
        </w:rPr>
        <w:t>主干学科：计算机科学、电子信息学、医学。</w:t>
      </w:r>
    </w:p>
    <w:p>
      <w:pPr>
        <w:ind w:firstLine="420"/>
        <w:rPr>
          <w:rFonts w:asciiTheme="minorEastAsia" w:hAnsiTheme="minorEastAsia"/>
          <w:color w:val="auto"/>
          <w:sz w:val="24"/>
          <w:szCs w:val="24"/>
        </w:rPr>
      </w:pPr>
      <w:r>
        <w:rPr>
          <w:rFonts w:hint="eastAsia" w:asciiTheme="minorEastAsia" w:hAnsiTheme="minorEastAsia"/>
          <w:color w:val="auto"/>
          <w:sz w:val="24"/>
          <w:szCs w:val="24"/>
        </w:rPr>
        <w:t>主要课程：计算机基础、C语言程序设计、医学物理学、电路电子学、数字电子技术、JAVA程序设计、数据结构、数据库原理及应用、网络技术、医院信息系统、</w:t>
      </w:r>
      <w:r>
        <w:rPr>
          <w:rFonts w:hint="eastAsia" w:asciiTheme="minorEastAsia" w:hAnsiTheme="minorEastAsia"/>
          <w:color w:val="auto"/>
          <w:sz w:val="24"/>
          <w:szCs w:val="24"/>
          <w:lang w:val="en-US" w:eastAsia="zh-Hans"/>
        </w:rPr>
        <w:t>人工智能、</w:t>
      </w:r>
      <w:r>
        <w:rPr>
          <w:rFonts w:hint="eastAsia" w:asciiTheme="minorEastAsia" w:hAnsiTheme="minorEastAsia"/>
          <w:color w:val="auto"/>
          <w:sz w:val="24"/>
          <w:szCs w:val="24"/>
        </w:rPr>
        <w:t>医学数据挖掘、医学图像处理、计算机原理与接口技术、医疗物联网技术应用等。</w:t>
      </w:r>
    </w:p>
    <w:p>
      <w:pPr>
        <w:pStyle w:val="7"/>
        <w:spacing w:before="0" w:beforeAutospacing="0" w:after="0" w:afterAutospacing="0"/>
        <w:rPr>
          <w:b/>
          <w:color w:val="auto"/>
        </w:rPr>
      </w:pPr>
      <w:r>
        <w:rPr>
          <w:rFonts w:hint="eastAsia"/>
          <w:b/>
          <w:color w:val="auto"/>
        </w:rPr>
        <w:t>四、主要实践教学环节</w:t>
      </w:r>
    </w:p>
    <w:p>
      <w:pPr>
        <w:pStyle w:val="7"/>
        <w:spacing w:before="0" w:beforeAutospacing="0" w:after="0" w:afterAutospacing="0"/>
        <w:ind w:left="0" w:leftChars="0" w:firstLine="218" w:firstLineChars="91"/>
        <w:rPr>
          <w:color w:val="auto"/>
        </w:rPr>
      </w:pPr>
      <w:r>
        <w:rPr>
          <w:rFonts w:hint="eastAsia"/>
          <w:color w:val="auto"/>
        </w:rPr>
        <w:t>（一）军事训练</w:t>
      </w:r>
      <w:r>
        <w:rPr>
          <w:color w:val="auto"/>
        </w:rPr>
        <w:t>2</w:t>
      </w:r>
      <w:r>
        <w:rPr>
          <w:rFonts w:hint="eastAsia"/>
          <w:color w:val="auto"/>
        </w:rPr>
        <w:t>周，安排在第一学期进行，计</w:t>
      </w:r>
      <w:r>
        <w:rPr>
          <w:color w:val="auto"/>
        </w:rPr>
        <w:t>2</w:t>
      </w:r>
      <w:r>
        <w:rPr>
          <w:rFonts w:hint="eastAsia"/>
          <w:color w:val="auto"/>
        </w:rPr>
        <w:t>学分。</w:t>
      </w:r>
    </w:p>
    <w:p>
      <w:pPr>
        <w:pStyle w:val="7"/>
        <w:spacing w:before="0" w:beforeAutospacing="0" w:after="0" w:afterAutospacing="0"/>
        <w:ind w:left="0" w:leftChars="0" w:firstLine="218" w:firstLineChars="91"/>
        <w:rPr>
          <w:color w:val="auto"/>
        </w:rPr>
      </w:pPr>
      <w:r>
        <w:rPr>
          <w:rFonts w:hint="eastAsia"/>
          <w:color w:val="auto"/>
        </w:rPr>
        <w:t>（二）</w:t>
      </w:r>
      <w:r>
        <w:rPr>
          <w:rFonts w:hint="eastAsia" w:ascii="宋体" w:hAnsi="宋体"/>
          <w:sz w:val="24"/>
        </w:rPr>
        <w:t>毕业实习</w:t>
      </w:r>
      <w:r>
        <w:rPr>
          <w:rFonts w:hint="eastAsia" w:ascii="宋体" w:hAnsi="宋体"/>
          <w:sz w:val="24"/>
          <w:lang w:val="en-US" w:eastAsia="zh-CN"/>
        </w:rPr>
        <w:t>24</w:t>
      </w:r>
      <w:r>
        <w:rPr>
          <w:rFonts w:hint="eastAsia" w:ascii="宋体" w:hAnsi="宋体"/>
          <w:sz w:val="24"/>
        </w:rPr>
        <w:t>周，计</w:t>
      </w:r>
      <w:r>
        <w:rPr>
          <w:rFonts w:hint="eastAsia" w:ascii="宋体" w:hAnsi="宋体"/>
          <w:sz w:val="24"/>
          <w:lang w:val="en-US" w:eastAsia="zh-CN"/>
        </w:rPr>
        <w:t>12</w:t>
      </w:r>
      <w:r>
        <w:rPr>
          <w:rFonts w:hint="eastAsia" w:ascii="宋体" w:hAnsi="宋体"/>
          <w:sz w:val="24"/>
        </w:rPr>
        <w:t>学分</w:t>
      </w:r>
      <w:r>
        <w:rPr>
          <w:rFonts w:hint="eastAsia" w:ascii="宋体" w:hAnsi="宋体"/>
          <w:sz w:val="24"/>
          <w:lang w:eastAsia="zh-CN"/>
        </w:rPr>
        <w:t>；</w:t>
      </w:r>
      <w:r>
        <w:rPr>
          <w:rFonts w:hint="eastAsia" w:ascii="宋体" w:hAnsi="宋体"/>
          <w:sz w:val="24"/>
          <w:lang w:val="en-US" w:eastAsia="zh-CN"/>
        </w:rPr>
        <w:t xml:space="preserve"> </w:t>
      </w:r>
      <w:r>
        <w:rPr>
          <w:rFonts w:hint="eastAsia" w:ascii="宋体" w:hAnsi="宋体"/>
          <w:sz w:val="24"/>
        </w:rPr>
        <w:t>毕业论文撰写与答辩</w:t>
      </w:r>
      <w:r>
        <w:rPr>
          <w:rFonts w:hint="eastAsia" w:ascii="宋体" w:hAnsi="宋体"/>
          <w:sz w:val="24"/>
          <w:lang w:val="en-US" w:eastAsia="zh-CN"/>
        </w:rPr>
        <w:t>24</w:t>
      </w:r>
      <w:r>
        <w:rPr>
          <w:rFonts w:hint="eastAsia" w:ascii="宋体" w:hAnsi="宋体"/>
          <w:sz w:val="24"/>
        </w:rPr>
        <w:t>周，计</w:t>
      </w:r>
      <w:r>
        <w:rPr>
          <w:rFonts w:hint="eastAsia" w:ascii="宋体" w:hAnsi="宋体"/>
          <w:sz w:val="24"/>
          <w:lang w:val="en-US" w:eastAsia="zh-CN"/>
        </w:rPr>
        <w:t>12</w:t>
      </w:r>
      <w:r>
        <w:rPr>
          <w:rFonts w:hint="eastAsia" w:ascii="宋体" w:hAnsi="宋体"/>
          <w:sz w:val="24"/>
        </w:rPr>
        <w:t>学分。</w:t>
      </w:r>
    </w:p>
    <w:p>
      <w:pPr>
        <w:pStyle w:val="7"/>
        <w:spacing w:before="0" w:beforeAutospacing="0" w:after="0" w:afterAutospacing="0"/>
        <w:ind w:left="0" w:leftChars="0" w:firstLine="218" w:firstLineChars="91"/>
        <w:rPr>
          <w:color w:val="auto"/>
        </w:rPr>
      </w:pPr>
      <w:r>
        <w:rPr>
          <w:rFonts w:hint="eastAsia"/>
          <w:color w:val="auto"/>
        </w:rPr>
        <w:t>（三）社会实践</w:t>
      </w:r>
      <w:r>
        <w:rPr>
          <w:color w:val="auto"/>
        </w:rPr>
        <w:t>2</w:t>
      </w:r>
      <w:r>
        <w:rPr>
          <w:rFonts w:hint="eastAsia"/>
          <w:color w:val="auto"/>
        </w:rPr>
        <w:t>周，计</w:t>
      </w:r>
      <w:r>
        <w:rPr>
          <w:color w:val="auto"/>
        </w:rPr>
        <w:t>2</w:t>
      </w:r>
      <w:r>
        <w:rPr>
          <w:rFonts w:hint="eastAsia"/>
          <w:color w:val="auto"/>
        </w:rPr>
        <w:t>学分。</w:t>
      </w:r>
    </w:p>
    <w:p>
      <w:pPr>
        <w:pStyle w:val="7"/>
        <w:spacing w:before="0" w:beforeAutospacing="0" w:after="0" w:afterAutospacing="0"/>
        <w:ind w:left="0" w:leftChars="0" w:firstLine="218" w:firstLineChars="91"/>
        <w:rPr>
          <w:color w:val="auto"/>
        </w:rPr>
      </w:pPr>
      <w:r>
        <w:rPr>
          <w:rFonts w:hint="eastAsia"/>
          <w:color w:val="auto"/>
        </w:rPr>
        <w:t>（四）创新创业素质拓展，3学分。</w:t>
      </w:r>
    </w:p>
    <w:p>
      <w:pPr>
        <w:pStyle w:val="7"/>
        <w:spacing w:before="0" w:beforeAutospacing="0" w:after="0" w:afterAutospacing="0"/>
        <w:ind w:left="0" w:leftChars="0" w:firstLine="420" w:firstLineChars="175"/>
        <w:rPr>
          <w:color w:val="auto"/>
        </w:rPr>
      </w:pPr>
      <w:r>
        <w:rPr>
          <w:color w:val="auto"/>
        </w:rPr>
        <w:t>1.</w:t>
      </w:r>
      <w:r>
        <w:rPr>
          <w:rFonts w:hint="eastAsia"/>
          <w:color w:val="auto"/>
        </w:rPr>
        <w:t>主持并完成“大学生创新创业训练计划项目”或“未来学术之星”等科研项目的，每项3学分；参与以上项目的，每项1.5学分；</w:t>
      </w:r>
    </w:p>
    <w:p>
      <w:pPr>
        <w:pStyle w:val="7"/>
        <w:spacing w:before="0" w:beforeAutospacing="0" w:after="0" w:afterAutospacing="0"/>
        <w:ind w:left="0" w:leftChars="0" w:firstLine="420" w:firstLineChars="175"/>
        <w:rPr>
          <w:color w:val="auto"/>
        </w:rPr>
      </w:pPr>
      <w:r>
        <w:rPr>
          <w:color w:val="auto"/>
        </w:rPr>
        <w:t>2.</w:t>
      </w:r>
      <w:r>
        <w:rPr>
          <w:rFonts w:hint="eastAsia"/>
          <w:color w:val="auto"/>
        </w:rPr>
        <w:t>主持“互联网+”大学生创新创业大赛项目，报名成功并进入校级比赛的，每项3学分；参与该项目的，每项1.5学分；</w:t>
      </w:r>
    </w:p>
    <w:p>
      <w:pPr>
        <w:pStyle w:val="7"/>
        <w:spacing w:before="0" w:beforeAutospacing="0" w:after="0" w:afterAutospacing="0"/>
        <w:ind w:left="0" w:leftChars="0" w:firstLine="420" w:firstLineChars="175"/>
        <w:rPr>
          <w:color w:val="auto"/>
        </w:rPr>
      </w:pPr>
      <w:r>
        <w:rPr>
          <w:color w:val="auto"/>
        </w:rPr>
        <w:t>3.</w:t>
      </w:r>
      <w:r>
        <w:rPr>
          <w:rFonts w:hint="eastAsia"/>
          <w:color w:val="auto"/>
        </w:rPr>
        <w:t>符合《广西医科大学本科生课外素质教育奖励学分实施管理办法（2017年9月修订）》（桂医大教〔2017〕69号）文件</w:t>
      </w:r>
      <w:r>
        <w:rPr>
          <w:color w:val="auto"/>
        </w:rPr>
        <w:t>中</w:t>
      </w:r>
      <w:r>
        <w:rPr>
          <w:rFonts w:hint="eastAsia"/>
          <w:color w:val="auto"/>
        </w:rPr>
        <w:t>学分奖励条件，获得的奖励学分可作为创新创业素质拓展学分（文件中第三类别：创新创业训练奖励学分除外）。</w:t>
      </w:r>
    </w:p>
    <w:p>
      <w:pPr>
        <w:pStyle w:val="7"/>
        <w:spacing w:before="0" w:beforeAutospacing="0" w:after="0" w:afterAutospacing="0"/>
        <w:rPr>
          <w:rStyle w:val="12"/>
          <w:bCs/>
          <w:color w:val="auto"/>
        </w:rPr>
      </w:pPr>
      <w:r>
        <w:rPr>
          <w:rStyle w:val="12"/>
          <w:rFonts w:hint="eastAsia"/>
          <w:bCs/>
          <w:color w:val="auto"/>
        </w:rPr>
        <w:t>五、课程设置</w:t>
      </w:r>
    </w:p>
    <w:p>
      <w:pPr>
        <w:pStyle w:val="7"/>
        <w:spacing w:before="0" w:beforeAutospacing="0" w:after="0" w:afterAutospacing="0"/>
        <w:rPr>
          <w:rStyle w:val="12"/>
          <w:b w:val="0"/>
          <w:bCs/>
          <w:color w:val="auto"/>
        </w:rPr>
      </w:pPr>
      <w:r>
        <w:rPr>
          <w:rStyle w:val="12"/>
          <w:rFonts w:hint="eastAsia"/>
          <w:bCs/>
          <w:color w:val="auto"/>
        </w:rPr>
        <w:t xml:space="preserve">    </w:t>
      </w:r>
      <w:r>
        <w:rPr>
          <w:rStyle w:val="12"/>
          <w:rFonts w:hint="eastAsia"/>
          <w:b w:val="0"/>
          <w:bCs/>
          <w:color w:val="auto"/>
        </w:rPr>
        <w:t>（一）必修课程（共</w:t>
      </w:r>
      <w:r>
        <w:rPr>
          <w:rStyle w:val="12"/>
          <w:b w:val="0"/>
          <w:bCs/>
          <w:color w:val="auto"/>
        </w:rPr>
        <w:t>42</w:t>
      </w:r>
      <w:r>
        <w:rPr>
          <w:rStyle w:val="12"/>
          <w:rFonts w:hint="eastAsia"/>
          <w:b w:val="0"/>
          <w:bCs/>
          <w:color w:val="auto"/>
        </w:rPr>
        <w:t>门、</w:t>
      </w:r>
      <w:r>
        <w:rPr>
          <w:rStyle w:val="12"/>
          <w:rFonts w:hint="default"/>
          <w:b w:val="0"/>
          <w:bCs/>
          <w:color w:val="auto"/>
        </w:rPr>
        <w:t>23</w:t>
      </w:r>
      <w:r>
        <w:rPr>
          <w:rStyle w:val="12"/>
          <w:rFonts w:hint="eastAsia"/>
          <w:b w:val="0"/>
          <w:bCs/>
          <w:color w:val="auto"/>
          <w:lang w:val="en-US" w:eastAsia="zh-CN"/>
        </w:rPr>
        <w:t>21</w:t>
      </w:r>
      <w:r>
        <w:rPr>
          <w:rStyle w:val="12"/>
          <w:rFonts w:hint="eastAsia"/>
          <w:b w:val="0"/>
          <w:bCs/>
          <w:color w:val="auto"/>
        </w:rPr>
        <w:t>学时、</w:t>
      </w:r>
      <w:r>
        <w:rPr>
          <w:rStyle w:val="12"/>
          <w:rFonts w:hint="default"/>
          <w:b w:val="0"/>
          <w:bCs/>
          <w:color w:val="auto"/>
        </w:rPr>
        <w:t>110</w:t>
      </w:r>
      <w:r>
        <w:rPr>
          <w:rStyle w:val="12"/>
          <w:rFonts w:hint="eastAsia"/>
          <w:b w:val="0"/>
          <w:bCs/>
          <w:color w:val="auto"/>
        </w:rPr>
        <w:t>学分）</w:t>
      </w:r>
    </w:p>
    <w:p>
      <w:pPr>
        <w:pStyle w:val="7"/>
        <w:spacing w:before="0" w:beforeAutospacing="0" w:after="0" w:afterAutospacing="0"/>
        <w:rPr>
          <w:rStyle w:val="12"/>
          <w:b w:val="0"/>
          <w:bCs/>
          <w:color w:val="auto"/>
        </w:rPr>
      </w:pPr>
      <w:r>
        <w:rPr>
          <w:rStyle w:val="12"/>
          <w:rFonts w:hint="eastAsia"/>
          <w:b w:val="0"/>
          <w:bCs/>
          <w:color w:val="auto"/>
        </w:rPr>
        <w:t xml:space="preserve">    （二）限选课程</w:t>
      </w:r>
      <w:r>
        <w:rPr>
          <w:rStyle w:val="12"/>
          <w:b w:val="0"/>
          <w:bCs/>
          <w:color w:val="auto"/>
        </w:rPr>
        <w:t>（14</w:t>
      </w:r>
      <w:r>
        <w:rPr>
          <w:rStyle w:val="12"/>
          <w:rFonts w:hint="eastAsia"/>
          <w:b w:val="0"/>
          <w:bCs/>
          <w:color w:val="auto"/>
        </w:rPr>
        <w:t>学分</w:t>
      </w:r>
      <w:r>
        <w:rPr>
          <w:rStyle w:val="12"/>
          <w:b w:val="0"/>
          <w:bCs/>
          <w:color w:val="auto"/>
        </w:rPr>
        <w:t>）</w:t>
      </w:r>
    </w:p>
    <w:p>
      <w:pPr>
        <w:pStyle w:val="7"/>
        <w:spacing w:before="0" w:beforeAutospacing="0" w:after="0" w:afterAutospacing="0"/>
        <w:rPr>
          <w:color w:val="auto"/>
        </w:rPr>
      </w:pPr>
      <w:r>
        <w:rPr>
          <w:rStyle w:val="12"/>
          <w:rFonts w:hint="eastAsia"/>
          <w:b w:val="0"/>
          <w:bCs/>
          <w:color w:val="auto"/>
        </w:rPr>
        <w:t xml:space="preserve">    （三）任</w:t>
      </w:r>
      <w:r>
        <w:rPr>
          <w:rFonts w:hint="eastAsia"/>
          <w:color w:val="auto"/>
        </w:rPr>
        <w:t>选课（</w:t>
      </w:r>
      <w:r>
        <w:rPr>
          <w:color w:val="auto"/>
        </w:rPr>
        <w:t>15</w:t>
      </w:r>
      <w:r>
        <w:rPr>
          <w:rFonts w:hint="eastAsia"/>
          <w:color w:val="auto"/>
        </w:rPr>
        <w:t>学分）</w:t>
      </w:r>
    </w:p>
    <w:p>
      <w:pPr>
        <w:pStyle w:val="7"/>
        <w:spacing w:before="0" w:beforeAutospacing="0" w:after="0" w:afterAutospacing="0"/>
        <w:jc w:val="both"/>
        <w:rPr>
          <w:color w:val="auto"/>
        </w:rPr>
      </w:pPr>
      <w:r>
        <w:rPr>
          <w:rFonts w:hint="eastAsia"/>
          <w:color w:val="auto"/>
        </w:rPr>
        <w:t xml:space="preserve">    </w:t>
      </w:r>
      <w:r>
        <w:rPr>
          <w:rFonts w:ascii="宋体" w:hAnsi="宋体" w:eastAsia="宋体" w:cs="宋体"/>
          <w:sz w:val="24"/>
          <w:szCs w:val="24"/>
        </w:rPr>
        <w:t>公共艺术类课程须修读2学分</w:t>
      </w:r>
      <w:r>
        <w:rPr>
          <w:rFonts w:hint="eastAsia" w:ascii="宋体" w:hAnsi="宋体" w:cs="宋体"/>
          <w:sz w:val="24"/>
          <w:szCs w:val="24"/>
          <w:lang w:val="en-US" w:eastAsia="zh-CN"/>
        </w:rPr>
        <w:t>及</w:t>
      </w:r>
      <w:r>
        <w:rPr>
          <w:rFonts w:ascii="宋体" w:hAnsi="宋体" w:eastAsia="宋体" w:cs="宋体"/>
          <w:sz w:val="24"/>
          <w:szCs w:val="24"/>
        </w:rPr>
        <w:t>以上。</w:t>
      </w:r>
      <w:r>
        <w:rPr>
          <w:rFonts w:hint="eastAsia"/>
          <w:color w:val="auto"/>
        </w:rPr>
        <w:t>参加《普通话》任选课学习并通过考试或自行参加普通话水平测试分数达二级乙等（80分）及以上，可计1学分；根据《广西医科大学本科生课外素质教育奖励学分管理办法》，奖励学分可作为任选课学分记载，但不得超过任选课学分的50%。</w:t>
      </w:r>
    </w:p>
    <w:p>
      <w:pPr>
        <w:pStyle w:val="7"/>
        <w:spacing w:before="0" w:beforeAutospacing="0" w:after="0" w:afterAutospacing="0"/>
        <w:ind w:firstLine="480"/>
        <w:rPr>
          <w:color w:val="auto"/>
        </w:rPr>
      </w:pPr>
      <w:r>
        <w:rPr>
          <w:rFonts w:hint="eastAsia"/>
          <w:color w:val="auto"/>
        </w:rPr>
        <w:t>（四）毕业实习及毕业论文。</w:t>
      </w:r>
    </w:p>
    <w:p>
      <w:pPr>
        <w:widowControl/>
        <w:ind w:firstLine="480" w:firstLineChars="200"/>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w:t>
      </w:r>
      <w:r>
        <w:rPr>
          <w:rFonts w:hint="eastAsia" w:ascii="宋体" w:hAnsi="宋体"/>
          <w:sz w:val="24"/>
        </w:rPr>
        <w:t>毕业实习</w:t>
      </w:r>
      <w:r>
        <w:rPr>
          <w:rFonts w:hint="eastAsia" w:ascii="宋体" w:hAnsi="宋体"/>
          <w:sz w:val="24"/>
          <w:lang w:val="en-US" w:eastAsia="zh-CN"/>
        </w:rPr>
        <w:t>24</w:t>
      </w:r>
      <w:r>
        <w:rPr>
          <w:rFonts w:hint="eastAsia" w:ascii="宋体" w:hAnsi="宋体"/>
          <w:sz w:val="24"/>
        </w:rPr>
        <w:t>周，计</w:t>
      </w:r>
      <w:r>
        <w:rPr>
          <w:rFonts w:hint="eastAsia" w:ascii="宋体" w:hAnsi="宋体"/>
          <w:sz w:val="24"/>
          <w:lang w:val="en-US" w:eastAsia="zh-CN"/>
        </w:rPr>
        <w:t>12</w:t>
      </w:r>
      <w:r>
        <w:rPr>
          <w:rFonts w:hint="eastAsia" w:ascii="宋体" w:hAnsi="宋体"/>
          <w:sz w:val="24"/>
        </w:rPr>
        <w:t>学分</w:t>
      </w:r>
      <w:r>
        <w:rPr>
          <w:rFonts w:hint="eastAsia" w:ascii="宋体" w:hAnsi="宋体"/>
          <w:sz w:val="24"/>
          <w:lang w:eastAsia="zh-CN"/>
        </w:rPr>
        <w:t>；</w:t>
      </w:r>
      <w:r>
        <w:rPr>
          <w:rFonts w:hint="eastAsia" w:ascii="宋体" w:hAnsi="宋体"/>
          <w:sz w:val="24"/>
          <w:lang w:val="en-US" w:eastAsia="zh-CN"/>
        </w:rPr>
        <w:t xml:space="preserve"> </w:t>
      </w:r>
      <w:r>
        <w:rPr>
          <w:rFonts w:hint="eastAsia" w:ascii="宋体" w:hAnsi="宋体"/>
          <w:sz w:val="24"/>
        </w:rPr>
        <w:t>毕业论文撰写与答辩</w:t>
      </w:r>
      <w:r>
        <w:rPr>
          <w:rFonts w:hint="eastAsia" w:ascii="宋体" w:hAnsi="宋体"/>
          <w:sz w:val="24"/>
          <w:lang w:val="en-US" w:eastAsia="zh-CN"/>
        </w:rPr>
        <w:t>24</w:t>
      </w:r>
      <w:r>
        <w:rPr>
          <w:rFonts w:hint="eastAsia" w:ascii="宋体" w:hAnsi="宋体"/>
          <w:sz w:val="24"/>
        </w:rPr>
        <w:t>周，计</w:t>
      </w:r>
      <w:r>
        <w:rPr>
          <w:rFonts w:hint="eastAsia" w:ascii="宋体" w:hAnsi="宋体"/>
          <w:sz w:val="24"/>
          <w:lang w:val="en-US" w:eastAsia="zh-CN"/>
        </w:rPr>
        <w:t>12</w:t>
      </w:r>
      <w:r>
        <w:rPr>
          <w:rFonts w:hint="eastAsia" w:ascii="宋体" w:hAnsi="宋体"/>
          <w:sz w:val="24"/>
        </w:rPr>
        <w:t>学分</w:t>
      </w:r>
      <w:r>
        <w:rPr>
          <w:rFonts w:hint="eastAsia" w:cs="宋体" w:asciiTheme="minorEastAsia" w:hAnsiTheme="minorEastAsia"/>
          <w:color w:val="auto"/>
          <w:kern w:val="0"/>
          <w:sz w:val="24"/>
          <w:szCs w:val="24"/>
        </w:rPr>
        <w:t>。第7学期进入医</w:t>
      </w:r>
      <w:r>
        <w:rPr>
          <w:rFonts w:hint="eastAsia" w:cs="宋体" w:asciiTheme="minorEastAsia" w:hAnsiTheme="minorEastAsia"/>
          <w:color w:val="auto"/>
          <w:kern w:val="0"/>
          <w:sz w:val="24"/>
          <w:szCs w:val="24"/>
          <w:lang w:val="en-US" w:eastAsia="zh-Hans"/>
        </w:rPr>
        <w:t>疗机构</w:t>
      </w:r>
      <w:r>
        <w:rPr>
          <w:rFonts w:hint="eastAsia" w:cs="宋体" w:asciiTheme="minorEastAsia" w:hAnsiTheme="minorEastAsia"/>
          <w:color w:val="auto"/>
          <w:kern w:val="0"/>
          <w:sz w:val="24"/>
          <w:szCs w:val="24"/>
        </w:rPr>
        <w:t>、卫生行政机构、医药企业等单位完成，主要在医疗卫生系统的信息中心（科）、网络中心、病案管理科和软件开发公司的项目开发、实施、培训等部门进行，着重培养学生全面解决问题的能力。</w:t>
      </w:r>
    </w:p>
    <w:p>
      <w:pPr>
        <w:widowControl/>
        <w:ind w:firstLine="480" w:firstLineChars="200"/>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2.实习安排的原则：所有本专业学生以在广西医科大学附属医院和教学基地进行实习为主，个别学生已签订就业协议可申请到对应的就业单位实习。各实习单位根据具体情况分配实习学生数量和实习时间。</w:t>
      </w:r>
    </w:p>
    <w:p>
      <w:pPr>
        <w:pStyle w:val="7"/>
        <w:spacing w:before="0" w:beforeAutospacing="0" w:after="0" w:afterAutospacing="0"/>
        <w:rPr>
          <w:color w:val="auto"/>
        </w:rPr>
      </w:pPr>
      <w:r>
        <w:rPr>
          <w:rFonts w:hint="eastAsia"/>
          <w:color w:val="auto"/>
        </w:rPr>
        <w:t xml:space="preserve">    （五）社会实践：共</w:t>
      </w:r>
      <w:r>
        <w:rPr>
          <w:color w:val="auto"/>
        </w:rPr>
        <w:t>2</w:t>
      </w:r>
      <w:r>
        <w:rPr>
          <w:rFonts w:hint="eastAsia"/>
          <w:color w:val="auto"/>
        </w:rPr>
        <w:t>周，</w:t>
      </w:r>
      <w:r>
        <w:rPr>
          <w:color w:val="auto"/>
        </w:rPr>
        <w:t>2</w:t>
      </w:r>
      <w:r>
        <w:rPr>
          <w:rFonts w:hint="eastAsia"/>
          <w:color w:val="auto"/>
        </w:rPr>
        <w:t>学分。</w:t>
      </w:r>
    </w:p>
    <w:p>
      <w:pPr>
        <w:ind w:firstLine="480" w:firstLineChars="200"/>
        <w:rPr>
          <w:rFonts w:ascii="宋体" w:hAnsi="宋体"/>
          <w:bCs/>
          <w:color w:val="auto"/>
          <w:kern w:val="0"/>
          <w:sz w:val="24"/>
        </w:rPr>
      </w:pPr>
      <w:r>
        <w:rPr>
          <w:rFonts w:hint="eastAsia" w:ascii="宋体" w:hAnsi="宋体"/>
          <w:bCs/>
          <w:color w:val="auto"/>
          <w:kern w:val="0"/>
          <w:sz w:val="24"/>
        </w:rPr>
        <w:t>（1）假期</w:t>
      </w:r>
      <w:r>
        <w:rPr>
          <w:rFonts w:ascii="宋体" w:hAnsi="宋体"/>
          <w:bCs/>
          <w:color w:val="auto"/>
          <w:kern w:val="0"/>
          <w:sz w:val="24"/>
        </w:rPr>
        <w:t>社会实践</w:t>
      </w:r>
      <w:r>
        <w:rPr>
          <w:rFonts w:hint="eastAsia" w:ascii="宋体" w:hAnsi="宋体"/>
          <w:bCs/>
          <w:color w:val="auto"/>
          <w:kern w:val="0"/>
          <w:sz w:val="24"/>
        </w:rPr>
        <w:t>：</w:t>
      </w:r>
      <w:r>
        <w:rPr>
          <w:rFonts w:ascii="宋体" w:hAnsi="宋体"/>
          <w:bCs/>
          <w:color w:val="auto"/>
          <w:kern w:val="0"/>
          <w:sz w:val="24"/>
        </w:rPr>
        <w:t>寒暑</w:t>
      </w:r>
      <w:r>
        <w:rPr>
          <w:rFonts w:hint="eastAsia" w:ascii="宋体" w:hAnsi="宋体"/>
          <w:bCs/>
          <w:color w:val="auto"/>
          <w:kern w:val="0"/>
          <w:sz w:val="24"/>
        </w:rPr>
        <w:t>假</w:t>
      </w:r>
      <w:r>
        <w:rPr>
          <w:rFonts w:ascii="宋体" w:hAnsi="宋体"/>
          <w:bCs/>
          <w:color w:val="auto"/>
          <w:kern w:val="0"/>
          <w:sz w:val="24"/>
        </w:rPr>
        <w:t>社会实践</w:t>
      </w:r>
      <w:r>
        <w:rPr>
          <w:rFonts w:hint="eastAsia" w:ascii="宋体" w:hAnsi="宋体"/>
          <w:bCs/>
          <w:color w:val="auto"/>
          <w:kern w:val="0"/>
          <w:sz w:val="24"/>
        </w:rPr>
        <w:t>，36学时（1周）计1学分。</w:t>
      </w:r>
    </w:p>
    <w:p>
      <w:pPr>
        <w:ind w:firstLine="480" w:firstLineChars="200"/>
        <w:rPr>
          <w:rFonts w:ascii="宋体" w:hAnsi="宋体"/>
          <w:bCs/>
          <w:color w:val="auto"/>
          <w:kern w:val="0"/>
          <w:sz w:val="24"/>
        </w:rPr>
      </w:pPr>
      <w:r>
        <w:rPr>
          <w:rFonts w:hint="eastAsia" w:ascii="宋体" w:hAnsi="宋体"/>
          <w:bCs/>
          <w:color w:val="auto"/>
          <w:kern w:val="0"/>
          <w:sz w:val="24"/>
        </w:rPr>
        <w:t>（2）志愿</w:t>
      </w:r>
      <w:r>
        <w:rPr>
          <w:rFonts w:ascii="宋体" w:hAnsi="宋体"/>
          <w:bCs/>
          <w:color w:val="auto"/>
          <w:kern w:val="0"/>
          <w:sz w:val="24"/>
        </w:rPr>
        <w:t>服务：校内外志愿服务活动，</w:t>
      </w:r>
      <w:r>
        <w:rPr>
          <w:rFonts w:hint="eastAsia" w:ascii="宋体" w:hAnsi="宋体"/>
          <w:bCs/>
          <w:color w:val="auto"/>
          <w:kern w:val="0"/>
          <w:sz w:val="24"/>
        </w:rPr>
        <w:t>36学时（1周）计1学分。</w:t>
      </w:r>
    </w:p>
    <w:p>
      <w:pPr>
        <w:ind w:firstLine="480" w:firstLineChars="200"/>
        <w:rPr>
          <w:rFonts w:ascii="宋体" w:hAnsi="宋体"/>
          <w:bCs/>
          <w:color w:val="auto"/>
          <w:kern w:val="0"/>
          <w:sz w:val="24"/>
        </w:rPr>
      </w:pPr>
      <w:r>
        <w:rPr>
          <w:rFonts w:hint="eastAsia" w:ascii="宋体" w:hAnsi="宋体"/>
          <w:bCs/>
          <w:color w:val="auto"/>
          <w:kern w:val="0"/>
          <w:sz w:val="24"/>
        </w:rPr>
        <w:t>单项或者</w:t>
      </w:r>
      <w:r>
        <w:rPr>
          <w:rFonts w:ascii="宋体" w:hAnsi="宋体"/>
          <w:bCs/>
          <w:color w:val="auto"/>
          <w:kern w:val="0"/>
          <w:sz w:val="24"/>
        </w:rPr>
        <w:t>累计学分满</w:t>
      </w:r>
      <w:r>
        <w:rPr>
          <w:rFonts w:hint="eastAsia" w:ascii="宋体" w:hAnsi="宋体"/>
          <w:bCs/>
          <w:color w:val="auto"/>
          <w:kern w:val="0"/>
          <w:sz w:val="24"/>
        </w:rPr>
        <w:t>2学分</w:t>
      </w:r>
      <w:r>
        <w:rPr>
          <w:rFonts w:ascii="宋体" w:hAnsi="宋体"/>
          <w:bCs/>
          <w:color w:val="auto"/>
          <w:kern w:val="0"/>
          <w:sz w:val="24"/>
        </w:rPr>
        <w:t>者，计</w:t>
      </w:r>
      <w:r>
        <w:rPr>
          <w:rFonts w:hint="eastAsia" w:ascii="宋体" w:hAnsi="宋体"/>
          <w:bCs/>
          <w:color w:val="auto"/>
          <w:kern w:val="0"/>
          <w:sz w:val="24"/>
        </w:rPr>
        <w:t>2学分</w:t>
      </w:r>
      <w:r>
        <w:rPr>
          <w:rFonts w:ascii="宋体" w:hAnsi="宋体"/>
          <w:bCs/>
          <w:color w:val="auto"/>
          <w:kern w:val="0"/>
          <w:sz w:val="24"/>
        </w:rPr>
        <w:t>。</w:t>
      </w:r>
    </w:p>
    <w:p>
      <w:pPr>
        <w:pStyle w:val="7"/>
        <w:spacing w:before="0" w:beforeAutospacing="0" w:after="0" w:afterAutospacing="0"/>
        <w:rPr>
          <w:rStyle w:val="12"/>
          <w:bCs/>
          <w:color w:val="auto"/>
        </w:rPr>
      </w:pPr>
      <w:r>
        <w:rPr>
          <w:rStyle w:val="12"/>
          <w:rFonts w:hint="eastAsia"/>
          <w:bCs/>
          <w:color w:val="auto"/>
        </w:rPr>
        <w:t>六、学制及修业年限</w:t>
      </w:r>
      <w:r>
        <w:rPr>
          <w:rStyle w:val="12"/>
          <w:bCs/>
          <w:color w:val="auto"/>
        </w:rPr>
        <w:t xml:space="preserve">   </w:t>
      </w:r>
    </w:p>
    <w:p>
      <w:pPr>
        <w:pStyle w:val="7"/>
        <w:spacing w:before="0" w:beforeAutospacing="0" w:after="0" w:afterAutospacing="0"/>
        <w:ind w:firstLine="480" w:firstLineChars="200"/>
        <w:rPr>
          <w:rStyle w:val="12"/>
          <w:b w:val="0"/>
          <w:bCs/>
          <w:color w:val="auto"/>
        </w:rPr>
      </w:pPr>
      <w:r>
        <w:rPr>
          <w:rStyle w:val="12"/>
          <w:rFonts w:hint="eastAsia"/>
          <w:b w:val="0"/>
          <w:bCs/>
          <w:color w:val="auto"/>
        </w:rPr>
        <w:t>（一）基本学制：</w:t>
      </w:r>
      <w:r>
        <w:rPr>
          <w:rStyle w:val="12"/>
          <w:b w:val="0"/>
          <w:bCs/>
          <w:color w:val="auto"/>
        </w:rPr>
        <w:t>4</w:t>
      </w:r>
      <w:r>
        <w:rPr>
          <w:rStyle w:val="12"/>
          <w:rFonts w:hint="eastAsia"/>
          <w:b w:val="0"/>
          <w:bCs/>
          <w:color w:val="auto"/>
        </w:rPr>
        <w:t>年</w:t>
      </w:r>
    </w:p>
    <w:p>
      <w:pPr>
        <w:pStyle w:val="7"/>
        <w:spacing w:before="0" w:beforeAutospacing="0" w:after="0" w:afterAutospacing="0"/>
        <w:ind w:firstLine="480" w:firstLineChars="200"/>
        <w:rPr>
          <w:rStyle w:val="12"/>
          <w:b w:val="0"/>
          <w:bCs/>
          <w:color w:val="auto"/>
        </w:rPr>
      </w:pPr>
      <w:r>
        <w:rPr>
          <w:rStyle w:val="12"/>
          <w:rFonts w:hint="eastAsia"/>
          <w:b w:val="0"/>
          <w:bCs/>
          <w:color w:val="auto"/>
        </w:rPr>
        <w:t>（二）修业年限：</w:t>
      </w:r>
      <w:r>
        <w:rPr>
          <w:rStyle w:val="12"/>
          <w:b w:val="0"/>
          <w:bCs/>
          <w:color w:val="auto"/>
        </w:rPr>
        <w:t>4</w:t>
      </w:r>
      <w:r>
        <w:rPr>
          <w:rStyle w:val="12"/>
          <w:rFonts w:hint="eastAsia"/>
          <w:b w:val="0"/>
          <w:bCs/>
          <w:color w:val="auto"/>
        </w:rPr>
        <w:t>～</w:t>
      </w:r>
      <w:r>
        <w:rPr>
          <w:rStyle w:val="12"/>
          <w:b w:val="0"/>
          <w:bCs/>
          <w:color w:val="auto"/>
        </w:rPr>
        <w:t>7</w:t>
      </w:r>
      <w:r>
        <w:rPr>
          <w:rStyle w:val="12"/>
          <w:rFonts w:hint="eastAsia"/>
          <w:b w:val="0"/>
          <w:bCs/>
          <w:color w:val="auto"/>
        </w:rPr>
        <w:t>年</w:t>
      </w:r>
    </w:p>
    <w:p>
      <w:pPr>
        <w:pStyle w:val="7"/>
        <w:spacing w:before="0" w:beforeAutospacing="0" w:after="0" w:afterAutospacing="0"/>
        <w:ind w:firstLine="480" w:firstLineChars="200"/>
        <w:rPr>
          <w:rStyle w:val="12"/>
          <w:rFonts w:hint="eastAsia"/>
          <w:b w:val="0"/>
          <w:bCs/>
          <w:color w:val="auto"/>
        </w:rPr>
      </w:pPr>
      <w:r>
        <w:rPr>
          <w:rStyle w:val="12"/>
          <w:rFonts w:hint="eastAsia"/>
          <w:b w:val="0"/>
          <w:bCs/>
          <w:color w:val="auto"/>
        </w:rPr>
        <w:t>（三）各学年时间分配（表1）</w:t>
      </w:r>
    </w:p>
    <w:p>
      <w:pPr>
        <w:rPr>
          <w:rStyle w:val="12"/>
          <w:rFonts w:hint="eastAsia"/>
          <w:b w:val="0"/>
          <w:bCs/>
          <w:color w:val="auto"/>
        </w:rPr>
      </w:pPr>
      <w:r>
        <w:rPr>
          <w:rStyle w:val="12"/>
          <w:rFonts w:hint="eastAsia"/>
          <w:b w:val="0"/>
          <w:bCs/>
          <w:color w:val="auto"/>
        </w:rPr>
        <w:br w:type="page"/>
      </w:r>
    </w:p>
    <w:p>
      <w:pPr>
        <w:pStyle w:val="7"/>
        <w:spacing w:before="0" w:beforeAutospacing="0" w:after="0" w:afterAutospacing="0"/>
        <w:ind w:firstLine="480" w:firstLineChars="200"/>
        <w:rPr>
          <w:rStyle w:val="12"/>
          <w:rFonts w:hint="eastAsia"/>
          <w:b w:val="0"/>
          <w:bCs/>
          <w:color w:val="auto"/>
        </w:rPr>
      </w:pPr>
    </w:p>
    <w:p>
      <w:pPr>
        <w:widowControl/>
        <w:jc w:val="center"/>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表1  四年制医学信息工程专业时间分配表（按周计算）</w:t>
      </w:r>
    </w:p>
    <w:tbl>
      <w:tblPr>
        <w:tblStyle w:val="9"/>
        <w:tblW w:w="8112" w:type="dxa"/>
        <w:jc w:val="center"/>
        <w:tblLayout w:type="fixed"/>
        <w:tblCellMar>
          <w:top w:w="0" w:type="dxa"/>
          <w:left w:w="108" w:type="dxa"/>
          <w:bottom w:w="0" w:type="dxa"/>
          <w:right w:w="108" w:type="dxa"/>
        </w:tblCellMar>
      </w:tblPr>
      <w:tblGrid>
        <w:gridCol w:w="1001"/>
        <w:gridCol w:w="1001"/>
        <w:gridCol w:w="1002"/>
        <w:gridCol w:w="1001"/>
        <w:gridCol w:w="1001"/>
        <w:gridCol w:w="1001"/>
        <w:gridCol w:w="2105"/>
      </w:tblGrid>
      <w:tr>
        <w:tblPrEx>
          <w:tblCellMar>
            <w:top w:w="0" w:type="dxa"/>
            <w:left w:w="108" w:type="dxa"/>
            <w:bottom w:w="0" w:type="dxa"/>
            <w:right w:w="108" w:type="dxa"/>
          </w:tblCellMar>
        </w:tblPrEx>
        <w:trPr>
          <w:trHeight w:val="588" w:hRule="atLeast"/>
          <w:jc w:val="center"/>
        </w:trPr>
        <w:tc>
          <w:tcPr>
            <w:tcW w:w="1001" w:type="dxa"/>
            <w:tcBorders>
              <w:top w:val="single" w:color="auto" w:sz="8" w:space="0"/>
              <w:left w:val="nil"/>
              <w:bottom w:val="single" w:color="auto"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学年</w:t>
            </w:r>
          </w:p>
        </w:tc>
        <w:tc>
          <w:tcPr>
            <w:tcW w:w="1001" w:type="dxa"/>
            <w:tcBorders>
              <w:top w:val="single" w:color="auto" w:sz="8" w:space="0"/>
              <w:left w:val="nil"/>
              <w:bottom w:val="single" w:color="auto"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教学</w:t>
            </w:r>
          </w:p>
        </w:tc>
        <w:tc>
          <w:tcPr>
            <w:tcW w:w="1002" w:type="dxa"/>
            <w:tcBorders>
              <w:top w:val="single" w:color="auto" w:sz="8" w:space="0"/>
              <w:left w:val="nil"/>
              <w:bottom w:val="single" w:color="auto"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考试</w:t>
            </w:r>
          </w:p>
        </w:tc>
        <w:tc>
          <w:tcPr>
            <w:tcW w:w="1001" w:type="dxa"/>
            <w:tcBorders>
              <w:top w:val="single" w:color="auto" w:sz="8" w:space="0"/>
              <w:left w:val="nil"/>
              <w:bottom w:val="single" w:color="auto"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毕业实习</w:t>
            </w:r>
            <w:r>
              <w:rPr>
                <w:rFonts w:ascii="宋体" w:hAnsi="宋体" w:cs="宋体"/>
                <w:color w:val="auto"/>
                <w:kern w:val="0"/>
                <w:szCs w:val="21"/>
              </w:rPr>
              <w:t>/</w:t>
            </w:r>
            <w:r>
              <w:rPr>
                <w:rFonts w:hint="eastAsia" w:ascii="宋体" w:hAnsi="宋体" w:cs="宋体"/>
                <w:color w:val="auto"/>
                <w:kern w:val="0"/>
                <w:szCs w:val="21"/>
              </w:rPr>
              <w:t>论文</w:t>
            </w:r>
          </w:p>
        </w:tc>
        <w:tc>
          <w:tcPr>
            <w:tcW w:w="1001" w:type="dxa"/>
            <w:tcBorders>
              <w:top w:val="single" w:color="auto" w:sz="8" w:space="0"/>
              <w:left w:val="nil"/>
              <w:bottom w:val="single" w:color="auto"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机动</w:t>
            </w:r>
          </w:p>
        </w:tc>
        <w:tc>
          <w:tcPr>
            <w:tcW w:w="1001" w:type="dxa"/>
            <w:tcBorders>
              <w:top w:val="single" w:color="auto" w:sz="8" w:space="0"/>
              <w:left w:val="nil"/>
              <w:bottom w:val="single" w:color="auto"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假期</w:t>
            </w:r>
          </w:p>
        </w:tc>
        <w:tc>
          <w:tcPr>
            <w:tcW w:w="2105" w:type="dxa"/>
            <w:tcBorders>
              <w:top w:val="single" w:color="auto" w:sz="8" w:space="0"/>
              <w:left w:val="nil"/>
              <w:bottom w:val="single" w:color="auto"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合计</w:t>
            </w:r>
          </w:p>
        </w:tc>
      </w:tr>
      <w:tr>
        <w:tblPrEx>
          <w:tblCellMar>
            <w:top w:w="0" w:type="dxa"/>
            <w:left w:w="108" w:type="dxa"/>
            <w:bottom w:w="0" w:type="dxa"/>
            <w:right w:w="108" w:type="dxa"/>
          </w:tblCellMar>
        </w:tblPrEx>
        <w:trPr>
          <w:trHeight w:val="312" w:hRule="atLeast"/>
          <w:jc w:val="center"/>
        </w:trPr>
        <w:tc>
          <w:tcPr>
            <w:tcW w:w="1001" w:type="dxa"/>
            <w:tcBorders>
              <w:top w:val="nil"/>
              <w:left w:val="nil"/>
              <w:bottom w:val="nil"/>
              <w:right w:val="nil"/>
            </w:tcBorders>
          </w:tcPr>
          <w:p>
            <w:pPr>
              <w:widowControl/>
              <w:jc w:val="center"/>
              <w:rPr>
                <w:rFonts w:ascii="宋体" w:hAnsi="宋体" w:cs="宋体"/>
                <w:color w:val="auto"/>
                <w:kern w:val="0"/>
                <w:szCs w:val="21"/>
              </w:rPr>
            </w:pPr>
            <w:r>
              <w:rPr>
                <w:rFonts w:hint="eastAsia" w:ascii="宋体" w:hAnsi="宋体" w:cs="宋体"/>
                <w:color w:val="auto"/>
                <w:kern w:val="0"/>
                <w:szCs w:val="21"/>
              </w:rPr>
              <w:t>一</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32</w:t>
            </w:r>
          </w:p>
        </w:tc>
        <w:tc>
          <w:tcPr>
            <w:tcW w:w="1002"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4</w:t>
            </w:r>
          </w:p>
        </w:tc>
        <w:tc>
          <w:tcPr>
            <w:tcW w:w="1001" w:type="dxa"/>
            <w:tcBorders>
              <w:top w:val="nil"/>
              <w:left w:val="nil"/>
              <w:bottom w:val="nil"/>
              <w:right w:val="nil"/>
            </w:tcBorders>
          </w:tcPr>
          <w:p>
            <w:pPr>
              <w:widowControl/>
              <w:jc w:val="center"/>
              <w:rPr>
                <w:rFonts w:ascii="宋体" w:hAnsi="宋体" w:cs="宋体"/>
                <w:color w:val="auto"/>
                <w:kern w:val="0"/>
                <w:szCs w:val="21"/>
              </w:rPr>
            </w:pP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2</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14</w:t>
            </w:r>
          </w:p>
        </w:tc>
        <w:tc>
          <w:tcPr>
            <w:tcW w:w="2105"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52</w:t>
            </w:r>
          </w:p>
        </w:tc>
      </w:tr>
      <w:tr>
        <w:tblPrEx>
          <w:tblCellMar>
            <w:top w:w="0" w:type="dxa"/>
            <w:left w:w="108" w:type="dxa"/>
            <w:bottom w:w="0" w:type="dxa"/>
            <w:right w:w="108" w:type="dxa"/>
          </w:tblCellMar>
        </w:tblPrEx>
        <w:trPr>
          <w:trHeight w:val="312" w:hRule="atLeast"/>
          <w:jc w:val="center"/>
        </w:trPr>
        <w:tc>
          <w:tcPr>
            <w:tcW w:w="1001" w:type="dxa"/>
            <w:tcBorders>
              <w:top w:val="nil"/>
              <w:left w:val="nil"/>
              <w:bottom w:val="nil"/>
              <w:right w:val="nil"/>
            </w:tcBorders>
          </w:tcPr>
          <w:p>
            <w:pPr>
              <w:widowControl/>
              <w:jc w:val="center"/>
              <w:rPr>
                <w:rFonts w:ascii="宋体" w:hAnsi="宋体" w:cs="宋体"/>
                <w:color w:val="auto"/>
                <w:kern w:val="0"/>
                <w:szCs w:val="21"/>
              </w:rPr>
            </w:pPr>
            <w:r>
              <w:rPr>
                <w:rFonts w:hint="eastAsia" w:ascii="宋体" w:hAnsi="宋体" w:cs="宋体"/>
                <w:color w:val="auto"/>
                <w:kern w:val="0"/>
                <w:szCs w:val="21"/>
              </w:rPr>
              <w:t>二</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32</w:t>
            </w:r>
          </w:p>
        </w:tc>
        <w:tc>
          <w:tcPr>
            <w:tcW w:w="1002"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4</w:t>
            </w:r>
          </w:p>
        </w:tc>
        <w:tc>
          <w:tcPr>
            <w:tcW w:w="1001" w:type="dxa"/>
            <w:tcBorders>
              <w:top w:val="nil"/>
              <w:left w:val="nil"/>
              <w:bottom w:val="nil"/>
              <w:right w:val="nil"/>
            </w:tcBorders>
          </w:tcPr>
          <w:p>
            <w:pPr>
              <w:widowControl/>
              <w:jc w:val="center"/>
              <w:rPr>
                <w:rFonts w:ascii="宋体" w:hAnsi="宋体" w:cs="宋体"/>
                <w:color w:val="auto"/>
                <w:kern w:val="0"/>
                <w:szCs w:val="21"/>
              </w:rPr>
            </w:pP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2</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14</w:t>
            </w:r>
          </w:p>
        </w:tc>
        <w:tc>
          <w:tcPr>
            <w:tcW w:w="2105"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52</w:t>
            </w:r>
          </w:p>
        </w:tc>
      </w:tr>
      <w:tr>
        <w:tblPrEx>
          <w:tblCellMar>
            <w:top w:w="0" w:type="dxa"/>
            <w:left w:w="108" w:type="dxa"/>
            <w:bottom w:w="0" w:type="dxa"/>
            <w:right w:w="108" w:type="dxa"/>
          </w:tblCellMar>
        </w:tblPrEx>
        <w:trPr>
          <w:trHeight w:val="312" w:hRule="atLeast"/>
          <w:jc w:val="center"/>
        </w:trPr>
        <w:tc>
          <w:tcPr>
            <w:tcW w:w="1001" w:type="dxa"/>
            <w:tcBorders>
              <w:top w:val="nil"/>
              <w:left w:val="nil"/>
              <w:bottom w:val="nil"/>
              <w:right w:val="nil"/>
            </w:tcBorders>
          </w:tcPr>
          <w:p>
            <w:pPr>
              <w:widowControl/>
              <w:jc w:val="center"/>
              <w:rPr>
                <w:rFonts w:ascii="宋体" w:hAnsi="宋体" w:cs="宋体"/>
                <w:color w:val="auto"/>
                <w:kern w:val="0"/>
                <w:szCs w:val="21"/>
              </w:rPr>
            </w:pPr>
            <w:r>
              <w:rPr>
                <w:rFonts w:hint="eastAsia" w:ascii="宋体" w:hAnsi="宋体" w:cs="宋体"/>
                <w:color w:val="auto"/>
                <w:kern w:val="0"/>
                <w:szCs w:val="21"/>
              </w:rPr>
              <w:t>三</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32</w:t>
            </w:r>
          </w:p>
        </w:tc>
        <w:tc>
          <w:tcPr>
            <w:tcW w:w="1002"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4</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9</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2</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5</w:t>
            </w:r>
          </w:p>
        </w:tc>
        <w:tc>
          <w:tcPr>
            <w:tcW w:w="2105"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52</w:t>
            </w:r>
          </w:p>
        </w:tc>
      </w:tr>
      <w:tr>
        <w:tblPrEx>
          <w:tblCellMar>
            <w:top w:w="0" w:type="dxa"/>
            <w:left w:w="108" w:type="dxa"/>
            <w:bottom w:w="0" w:type="dxa"/>
            <w:right w:w="108" w:type="dxa"/>
          </w:tblCellMar>
        </w:tblPrEx>
        <w:trPr>
          <w:trHeight w:val="312" w:hRule="atLeast"/>
          <w:jc w:val="center"/>
        </w:trPr>
        <w:tc>
          <w:tcPr>
            <w:tcW w:w="1001" w:type="dxa"/>
            <w:tcBorders>
              <w:top w:val="nil"/>
              <w:left w:val="nil"/>
              <w:bottom w:val="nil"/>
              <w:right w:val="nil"/>
            </w:tcBorders>
          </w:tcPr>
          <w:p>
            <w:pPr>
              <w:widowControl/>
              <w:jc w:val="center"/>
              <w:rPr>
                <w:rFonts w:ascii="宋体" w:hAnsi="宋体" w:cs="宋体"/>
                <w:color w:val="auto"/>
                <w:kern w:val="0"/>
                <w:szCs w:val="21"/>
              </w:rPr>
            </w:pPr>
            <w:r>
              <w:rPr>
                <w:rFonts w:hint="eastAsia" w:ascii="宋体" w:hAnsi="宋体" w:cs="宋体"/>
                <w:color w:val="auto"/>
                <w:kern w:val="0"/>
                <w:szCs w:val="21"/>
              </w:rPr>
              <w:t>四</w:t>
            </w:r>
          </w:p>
        </w:tc>
        <w:tc>
          <w:tcPr>
            <w:tcW w:w="1001" w:type="dxa"/>
            <w:tcBorders>
              <w:top w:val="nil"/>
              <w:left w:val="nil"/>
              <w:bottom w:val="nil"/>
              <w:right w:val="nil"/>
            </w:tcBorders>
          </w:tcPr>
          <w:p>
            <w:pPr>
              <w:widowControl/>
              <w:jc w:val="center"/>
              <w:rPr>
                <w:rFonts w:ascii="宋体" w:hAnsi="宋体" w:cs="宋体"/>
                <w:color w:val="auto"/>
                <w:kern w:val="0"/>
                <w:szCs w:val="21"/>
              </w:rPr>
            </w:pPr>
          </w:p>
        </w:tc>
        <w:tc>
          <w:tcPr>
            <w:tcW w:w="1002" w:type="dxa"/>
            <w:tcBorders>
              <w:top w:val="nil"/>
              <w:left w:val="nil"/>
              <w:bottom w:val="nil"/>
              <w:right w:val="nil"/>
            </w:tcBorders>
          </w:tcPr>
          <w:p>
            <w:pPr>
              <w:widowControl/>
              <w:jc w:val="center"/>
              <w:rPr>
                <w:rFonts w:ascii="宋体" w:hAnsi="宋体" w:cs="宋体"/>
                <w:color w:val="auto"/>
                <w:kern w:val="0"/>
                <w:szCs w:val="21"/>
              </w:rPr>
            </w:pPr>
          </w:p>
        </w:tc>
        <w:tc>
          <w:tcPr>
            <w:tcW w:w="1001" w:type="dxa"/>
            <w:tcBorders>
              <w:top w:val="nil"/>
              <w:left w:val="nil"/>
              <w:bottom w:val="nil"/>
              <w:right w:val="nil"/>
            </w:tcBorders>
          </w:tcPr>
          <w:p>
            <w:pPr>
              <w:ind w:firstLine="315" w:firstLineChars="150"/>
              <w:rPr>
                <w:rFonts w:ascii="宋体" w:hAnsi="宋体"/>
                <w:b/>
                <w:color w:val="auto"/>
                <w:szCs w:val="21"/>
              </w:rPr>
            </w:pPr>
            <w:r>
              <w:rPr>
                <w:rStyle w:val="12"/>
                <w:rFonts w:ascii="宋体" w:hAnsi="宋体"/>
                <w:b w:val="0"/>
                <w:bCs/>
                <w:color w:val="auto"/>
                <w:szCs w:val="21"/>
              </w:rPr>
              <w:t>39</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3</w:t>
            </w:r>
          </w:p>
        </w:tc>
        <w:tc>
          <w:tcPr>
            <w:tcW w:w="1001" w:type="dxa"/>
            <w:tcBorders>
              <w:top w:val="nil"/>
              <w:left w:val="nil"/>
              <w:bottom w:val="nil"/>
              <w:right w:val="nil"/>
            </w:tcBorders>
          </w:tcPr>
          <w:p>
            <w:pPr>
              <w:widowControl/>
              <w:jc w:val="center"/>
              <w:rPr>
                <w:rFonts w:ascii="宋体" w:hAnsi="宋体" w:cs="宋体"/>
                <w:color w:val="auto"/>
                <w:kern w:val="0"/>
                <w:szCs w:val="21"/>
              </w:rPr>
            </w:pPr>
          </w:p>
        </w:tc>
        <w:tc>
          <w:tcPr>
            <w:tcW w:w="2105"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42</w:t>
            </w:r>
          </w:p>
        </w:tc>
      </w:tr>
      <w:tr>
        <w:tblPrEx>
          <w:tblCellMar>
            <w:top w:w="0" w:type="dxa"/>
            <w:left w:w="108" w:type="dxa"/>
            <w:bottom w:w="0" w:type="dxa"/>
            <w:right w:w="108" w:type="dxa"/>
          </w:tblCellMar>
        </w:tblPrEx>
        <w:trPr>
          <w:trHeight w:val="324" w:hRule="atLeast"/>
          <w:jc w:val="center"/>
        </w:trPr>
        <w:tc>
          <w:tcPr>
            <w:tcW w:w="1001" w:type="dxa"/>
            <w:tcBorders>
              <w:top w:val="nil"/>
              <w:left w:val="nil"/>
              <w:bottom w:val="single" w:color="auto" w:sz="8" w:space="0"/>
              <w:right w:val="nil"/>
            </w:tcBorders>
          </w:tcPr>
          <w:p>
            <w:pPr>
              <w:widowControl/>
              <w:jc w:val="center"/>
              <w:rPr>
                <w:rFonts w:ascii="宋体" w:hAnsi="宋体" w:cs="宋体"/>
                <w:color w:val="auto"/>
                <w:kern w:val="0"/>
                <w:szCs w:val="21"/>
              </w:rPr>
            </w:pPr>
            <w:r>
              <w:rPr>
                <w:rFonts w:hint="eastAsia" w:ascii="宋体" w:hAnsi="宋体" w:cs="宋体"/>
                <w:color w:val="auto"/>
                <w:kern w:val="0"/>
                <w:szCs w:val="21"/>
              </w:rPr>
              <w:t>合计</w:t>
            </w:r>
          </w:p>
        </w:tc>
        <w:tc>
          <w:tcPr>
            <w:tcW w:w="1001" w:type="dxa"/>
            <w:tcBorders>
              <w:top w:val="nil"/>
              <w:left w:val="nil"/>
              <w:bottom w:val="single" w:color="auto" w:sz="8" w:space="0"/>
              <w:right w:val="nil"/>
            </w:tcBorders>
          </w:tcPr>
          <w:p>
            <w:pPr>
              <w:widowControl/>
              <w:jc w:val="center"/>
              <w:rPr>
                <w:rFonts w:ascii="宋体" w:hAnsi="宋体" w:cs="宋体"/>
                <w:color w:val="auto"/>
                <w:kern w:val="0"/>
                <w:szCs w:val="21"/>
              </w:rPr>
            </w:pPr>
            <w:r>
              <w:rPr>
                <w:rFonts w:ascii="宋体" w:hAnsi="宋体" w:cs="宋体"/>
                <w:color w:val="auto"/>
                <w:kern w:val="0"/>
                <w:szCs w:val="21"/>
              </w:rPr>
              <w:t>96</w:t>
            </w:r>
          </w:p>
        </w:tc>
        <w:tc>
          <w:tcPr>
            <w:tcW w:w="1002" w:type="dxa"/>
            <w:tcBorders>
              <w:top w:val="nil"/>
              <w:left w:val="nil"/>
              <w:bottom w:val="single" w:color="auto" w:sz="8" w:space="0"/>
              <w:right w:val="nil"/>
            </w:tcBorders>
          </w:tcPr>
          <w:p>
            <w:pPr>
              <w:widowControl/>
              <w:jc w:val="center"/>
              <w:rPr>
                <w:rFonts w:ascii="宋体" w:hAnsi="宋体" w:cs="宋体"/>
                <w:color w:val="auto"/>
                <w:kern w:val="0"/>
                <w:szCs w:val="21"/>
              </w:rPr>
            </w:pPr>
            <w:r>
              <w:rPr>
                <w:rFonts w:ascii="宋体" w:hAnsi="宋体" w:cs="宋体"/>
                <w:color w:val="auto"/>
                <w:kern w:val="0"/>
                <w:szCs w:val="21"/>
              </w:rPr>
              <w:t>12</w:t>
            </w:r>
          </w:p>
        </w:tc>
        <w:tc>
          <w:tcPr>
            <w:tcW w:w="1001" w:type="dxa"/>
            <w:tcBorders>
              <w:top w:val="nil"/>
              <w:left w:val="nil"/>
              <w:bottom w:val="single" w:color="auto" w:sz="8" w:space="0"/>
              <w:right w:val="nil"/>
            </w:tcBorders>
          </w:tcPr>
          <w:p>
            <w:pPr>
              <w:ind w:firstLine="315" w:firstLineChars="150"/>
              <w:rPr>
                <w:rFonts w:ascii="宋体" w:hAnsi="宋体"/>
                <w:b/>
                <w:color w:val="auto"/>
                <w:szCs w:val="21"/>
              </w:rPr>
            </w:pPr>
            <w:r>
              <w:rPr>
                <w:rStyle w:val="12"/>
                <w:rFonts w:ascii="宋体" w:hAnsi="宋体"/>
                <w:b w:val="0"/>
                <w:bCs/>
                <w:color w:val="auto"/>
                <w:szCs w:val="21"/>
              </w:rPr>
              <w:t>48</w:t>
            </w:r>
          </w:p>
        </w:tc>
        <w:tc>
          <w:tcPr>
            <w:tcW w:w="1001" w:type="dxa"/>
            <w:tcBorders>
              <w:top w:val="nil"/>
              <w:left w:val="nil"/>
              <w:bottom w:val="single" w:color="auto" w:sz="8" w:space="0"/>
              <w:right w:val="nil"/>
            </w:tcBorders>
          </w:tcPr>
          <w:p>
            <w:pPr>
              <w:widowControl/>
              <w:jc w:val="center"/>
              <w:rPr>
                <w:rFonts w:ascii="宋体" w:hAnsi="宋体" w:cs="宋体"/>
                <w:color w:val="auto"/>
                <w:kern w:val="0"/>
                <w:szCs w:val="21"/>
              </w:rPr>
            </w:pPr>
            <w:r>
              <w:rPr>
                <w:rFonts w:ascii="宋体" w:hAnsi="宋体" w:cs="宋体"/>
                <w:color w:val="auto"/>
                <w:kern w:val="0"/>
                <w:szCs w:val="21"/>
              </w:rPr>
              <w:t>9</w:t>
            </w:r>
          </w:p>
        </w:tc>
        <w:tc>
          <w:tcPr>
            <w:tcW w:w="1001" w:type="dxa"/>
            <w:tcBorders>
              <w:top w:val="nil"/>
              <w:left w:val="nil"/>
              <w:bottom w:val="single" w:color="auto" w:sz="8" w:space="0"/>
              <w:right w:val="nil"/>
            </w:tcBorders>
          </w:tcPr>
          <w:p>
            <w:pPr>
              <w:widowControl/>
              <w:jc w:val="center"/>
              <w:rPr>
                <w:rFonts w:ascii="宋体" w:hAnsi="宋体" w:cs="宋体"/>
                <w:color w:val="auto"/>
                <w:kern w:val="0"/>
                <w:szCs w:val="21"/>
              </w:rPr>
            </w:pPr>
            <w:r>
              <w:rPr>
                <w:rFonts w:ascii="宋体" w:hAnsi="宋体" w:cs="宋体"/>
                <w:color w:val="auto"/>
                <w:kern w:val="0"/>
                <w:szCs w:val="21"/>
              </w:rPr>
              <w:t>33</w:t>
            </w:r>
          </w:p>
        </w:tc>
        <w:tc>
          <w:tcPr>
            <w:tcW w:w="2105" w:type="dxa"/>
            <w:tcBorders>
              <w:top w:val="nil"/>
              <w:left w:val="nil"/>
              <w:bottom w:val="single" w:color="auto" w:sz="8" w:space="0"/>
              <w:right w:val="nil"/>
            </w:tcBorders>
          </w:tcPr>
          <w:p>
            <w:pPr>
              <w:widowControl/>
              <w:jc w:val="center"/>
              <w:rPr>
                <w:rFonts w:ascii="宋体" w:hAnsi="宋体" w:cs="宋体"/>
                <w:color w:val="auto"/>
                <w:kern w:val="0"/>
                <w:szCs w:val="21"/>
              </w:rPr>
            </w:pPr>
            <w:r>
              <w:rPr>
                <w:rFonts w:ascii="宋体" w:hAnsi="宋体" w:cs="宋体"/>
                <w:color w:val="auto"/>
                <w:kern w:val="0"/>
                <w:szCs w:val="21"/>
              </w:rPr>
              <w:t>198</w:t>
            </w:r>
          </w:p>
        </w:tc>
      </w:tr>
      <w:tr>
        <w:tblPrEx>
          <w:tblCellMar>
            <w:top w:w="0" w:type="dxa"/>
            <w:left w:w="108" w:type="dxa"/>
            <w:bottom w:w="0" w:type="dxa"/>
            <w:right w:w="108" w:type="dxa"/>
          </w:tblCellMar>
        </w:tblPrEx>
        <w:trPr>
          <w:trHeight w:val="312" w:hRule="atLeast"/>
          <w:jc w:val="center"/>
        </w:trPr>
        <w:tc>
          <w:tcPr>
            <w:tcW w:w="8112" w:type="dxa"/>
            <w:gridSpan w:val="7"/>
            <w:tcBorders>
              <w:top w:val="single" w:color="auto" w:sz="8" w:space="0"/>
              <w:left w:val="nil"/>
              <w:bottom w:val="nil"/>
              <w:right w:val="nil"/>
            </w:tcBorders>
            <w:vAlign w:val="center"/>
          </w:tcPr>
          <w:p>
            <w:pPr>
              <w:widowControl/>
              <w:jc w:val="left"/>
              <w:rPr>
                <w:rFonts w:ascii="宋体" w:hAnsi="宋体" w:cs="宋体"/>
                <w:color w:val="auto"/>
                <w:kern w:val="0"/>
                <w:szCs w:val="21"/>
              </w:rPr>
            </w:pPr>
            <w:r>
              <w:rPr>
                <w:rFonts w:hint="eastAsia" w:ascii="宋体" w:hAnsi="宋体" w:cs="宋体"/>
                <w:color w:val="auto"/>
                <w:kern w:val="0"/>
                <w:szCs w:val="21"/>
              </w:rPr>
              <w:t>※社会实践</w:t>
            </w:r>
            <w:r>
              <w:rPr>
                <w:rFonts w:ascii="宋体" w:hAnsi="宋体" w:cs="宋体"/>
                <w:color w:val="auto"/>
                <w:kern w:val="0"/>
                <w:szCs w:val="21"/>
              </w:rPr>
              <w:t>2</w:t>
            </w:r>
            <w:r>
              <w:rPr>
                <w:rFonts w:hint="eastAsia" w:ascii="宋体" w:hAnsi="宋体" w:cs="宋体"/>
                <w:color w:val="auto"/>
                <w:kern w:val="0"/>
                <w:szCs w:val="21"/>
              </w:rPr>
              <w:t>周，安排在假期中进行，由校团委作统一部署。</w:t>
            </w:r>
          </w:p>
        </w:tc>
      </w:tr>
    </w:tbl>
    <w:p>
      <w:pPr>
        <w:widowControl/>
        <w:snapToGrid w:val="0"/>
        <w:rPr>
          <w:rFonts w:cs="宋体" w:asciiTheme="minorEastAsia" w:hAnsiTheme="minorEastAsia"/>
          <w:b/>
          <w:color w:val="auto"/>
          <w:kern w:val="0"/>
          <w:sz w:val="24"/>
          <w:szCs w:val="24"/>
        </w:rPr>
      </w:pPr>
    </w:p>
    <w:p>
      <w:pPr>
        <w:pStyle w:val="7"/>
        <w:spacing w:before="0" w:beforeAutospacing="0" w:after="0" w:afterAutospacing="0"/>
        <w:rPr>
          <w:rStyle w:val="12"/>
          <w:bCs/>
          <w:color w:val="auto"/>
          <w:szCs w:val="21"/>
        </w:rPr>
      </w:pPr>
      <w:r>
        <w:rPr>
          <w:rStyle w:val="12"/>
          <w:rFonts w:hint="eastAsia"/>
          <w:bCs/>
          <w:color w:val="auto"/>
        </w:rPr>
        <w:t>七、毕业标准、学位条件</w:t>
      </w:r>
    </w:p>
    <w:p>
      <w:pPr>
        <w:pStyle w:val="7"/>
        <w:spacing w:before="0" w:beforeAutospacing="0" w:after="0" w:afterAutospacing="0"/>
        <w:ind w:firstLine="480" w:firstLineChars="200"/>
        <w:rPr>
          <w:bCs/>
          <w:color w:val="auto"/>
        </w:rPr>
      </w:pPr>
      <w:r>
        <w:rPr>
          <w:rFonts w:hint="eastAsia"/>
          <w:bCs/>
          <w:color w:val="auto"/>
        </w:rPr>
        <w:t>学生</w:t>
      </w:r>
      <w:r>
        <w:rPr>
          <w:bCs/>
          <w:color w:val="auto"/>
        </w:rPr>
        <w:t>达到以下条件之一的，可毕业并</w:t>
      </w:r>
      <w:r>
        <w:rPr>
          <w:rFonts w:hint="eastAsia"/>
          <w:bCs/>
          <w:color w:val="auto"/>
        </w:rPr>
        <w:t>授予学位。</w:t>
      </w:r>
    </w:p>
    <w:p>
      <w:pPr>
        <w:pStyle w:val="8"/>
        <w:spacing w:after="0"/>
        <w:ind w:firstLine="480" w:firstLineChars="200"/>
        <w:rPr>
          <w:rFonts w:ascii="宋体" w:hAnsi="宋体" w:eastAsia="宋体" w:cs="Times New Roman"/>
          <w:bCs/>
          <w:color w:val="auto"/>
          <w:kern w:val="0"/>
          <w:sz w:val="24"/>
          <w:szCs w:val="24"/>
        </w:rPr>
      </w:pPr>
      <w:r>
        <w:rPr>
          <w:rFonts w:hint="eastAsia" w:ascii="宋体" w:hAnsi="宋体" w:eastAsia="宋体" w:cs="Times New Roman"/>
          <w:bCs/>
          <w:color w:val="auto"/>
          <w:kern w:val="0"/>
          <w:sz w:val="24"/>
          <w:szCs w:val="24"/>
        </w:rPr>
        <w:t>（</w:t>
      </w:r>
      <w:r>
        <w:rPr>
          <w:rFonts w:ascii="宋体" w:hAnsi="宋体" w:eastAsia="宋体" w:cs="Times New Roman"/>
          <w:bCs/>
          <w:color w:val="auto"/>
          <w:kern w:val="0"/>
          <w:sz w:val="24"/>
          <w:szCs w:val="24"/>
        </w:rPr>
        <w:t>一）</w:t>
      </w:r>
      <w:r>
        <w:rPr>
          <w:rFonts w:hint="eastAsia" w:ascii="宋体" w:hAnsi="宋体" w:eastAsia="宋体" w:cs="Times New Roman"/>
          <w:bCs/>
          <w:color w:val="auto"/>
          <w:kern w:val="0"/>
          <w:sz w:val="24"/>
          <w:szCs w:val="24"/>
        </w:rPr>
        <w:t>在学校规定修业年限内修完全部必修课程，成绩合格，限选课程修满</w:t>
      </w:r>
      <w:r>
        <w:rPr>
          <w:rFonts w:hint="default" w:ascii="宋体" w:hAnsi="宋体" w:eastAsia="宋体" w:cs="Times New Roman"/>
          <w:bCs/>
          <w:color w:val="auto"/>
          <w:kern w:val="0"/>
          <w:sz w:val="24"/>
          <w:szCs w:val="24"/>
        </w:rPr>
        <w:t>14</w:t>
      </w:r>
      <w:r>
        <w:rPr>
          <w:rFonts w:hint="eastAsia" w:ascii="宋体" w:hAnsi="宋体" w:eastAsia="宋体" w:cs="Times New Roman"/>
          <w:bCs/>
          <w:color w:val="auto"/>
          <w:kern w:val="0"/>
          <w:sz w:val="24"/>
          <w:szCs w:val="24"/>
        </w:rPr>
        <w:t>学分，任选课修满</w:t>
      </w:r>
      <w:r>
        <w:rPr>
          <w:rFonts w:ascii="宋体" w:hAnsi="宋体" w:eastAsia="宋体" w:cs="Times New Roman"/>
          <w:bCs/>
          <w:color w:val="auto"/>
          <w:kern w:val="0"/>
          <w:sz w:val="24"/>
          <w:szCs w:val="24"/>
        </w:rPr>
        <w:t>15</w:t>
      </w:r>
      <w:r>
        <w:rPr>
          <w:rFonts w:hint="eastAsia" w:ascii="宋体" w:hAnsi="宋体" w:eastAsia="宋体" w:cs="Times New Roman"/>
          <w:bCs/>
          <w:color w:val="auto"/>
          <w:kern w:val="0"/>
          <w:sz w:val="24"/>
          <w:szCs w:val="24"/>
        </w:rPr>
        <w:t>学分，通过毕业实习和社会实践，按照学校管理办法完成毕业论文（设计）并通过答辩</w:t>
      </w:r>
      <w:r>
        <w:rPr>
          <w:rFonts w:hint="eastAsia" w:ascii="宋体" w:hAnsi="宋体" w:eastAsia="宋体" w:cs="Times New Roman"/>
          <w:bCs/>
          <w:color w:val="auto"/>
          <w:kern w:val="0"/>
          <w:sz w:val="24"/>
          <w:szCs w:val="24"/>
          <w:lang w:eastAsia="zh-CN"/>
        </w:rPr>
        <w:t>，</w:t>
      </w:r>
      <w:r>
        <w:rPr>
          <w:rFonts w:hint="eastAsia" w:ascii="宋体" w:hAnsi="宋体" w:eastAsia="宋体" w:cs="Times New Roman"/>
          <w:bCs/>
          <w:color w:val="auto"/>
          <w:kern w:val="0"/>
          <w:sz w:val="24"/>
          <w:szCs w:val="24"/>
        </w:rPr>
        <w:t>总学分达170学分及以上，符合《广西医科大学学生学籍管理规定》中的毕业条件的准予毕业，符合《广西医科大学授予学士学位工作细则》学士学位条件的授予工学学士学位。</w:t>
      </w:r>
    </w:p>
    <w:p>
      <w:pPr>
        <w:pStyle w:val="7"/>
        <w:widowControl w:val="0"/>
        <w:spacing w:before="0" w:beforeAutospacing="0" w:after="0" w:afterAutospacing="0"/>
        <w:ind w:firstLine="360" w:firstLineChars="150"/>
        <w:rPr>
          <w:color w:val="auto"/>
        </w:rPr>
      </w:pPr>
      <w:r>
        <w:rPr>
          <w:rFonts w:hint="eastAsia"/>
          <w:bCs/>
          <w:color w:val="auto"/>
        </w:rPr>
        <w:t>（二）在学校</w:t>
      </w:r>
      <w:r>
        <w:rPr>
          <w:bCs/>
          <w:color w:val="auto"/>
        </w:rPr>
        <w:t>规定的修</w:t>
      </w:r>
      <w:r>
        <w:rPr>
          <w:rFonts w:hint="eastAsia"/>
          <w:bCs/>
          <w:color w:val="auto"/>
        </w:rPr>
        <w:t>业</w:t>
      </w:r>
      <w:r>
        <w:rPr>
          <w:bCs/>
          <w:color w:val="auto"/>
        </w:rPr>
        <w:t>年限内</w:t>
      </w:r>
      <w:r>
        <w:rPr>
          <w:rFonts w:hint="eastAsia"/>
          <w:bCs/>
          <w:color w:val="auto"/>
        </w:rPr>
        <w:t>，完成</w:t>
      </w:r>
      <w:r>
        <w:rPr>
          <w:bCs/>
          <w:color w:val="auto"/>
        </w:rPr>
        <w:t>“</w:t>
      </w:r>
      <w:r>
        <w:rPr>
          <w:rFonts w:hint="eastAsia"/>
          <w:bCs/>
          <w:color w:val="auto"/>
        </w:rPr>
        <w:t>3</w:t>
      </w:r>
      <w:r>
        <w:rPr>
          <w:bCs/>
          <w:color w:val="auto"/>
        </w:rPr>
        <w:t>+创新创业”</w:t>
      </w:r>
      <w:r>
        <w:rPr>
          <w:rFonts w:hint="eastAsia"/>
          <w:bCs/>
          <w:color w:val="auto"/>
        </w:rPr>
        <w:t>项目的合格</w:t>
      </w:r>
      <w:r>
        <w:rPr>
          <w:bCs/>
          <w:color w:val="auto"/>
        </w:rPr>
        <w:t>者</w:t>
      </w:r>
      <w:r>
        <w:rPr>
          <w:rFonts w:hint="eastAsia"/>
          <w:bCs/>
          <w:color w:val="auto"/>
        </w:rPr>
        <w:t>。即入校</w:t>
      </w:r>
      <w:r>
        <w:rPr>
          <w:bCs/>
          <w:color w:val="auto"/>
        </w:rPr>
        <w:t>后</w:t>
      </w:r>
      <w:r>
        <w:rPr>
          <w:rFonts w:hint="eastAsia"/>
          <w:bCs/>
          <w:color w:val="auto"/>
        </w:rPr>
        <w:t>完成3年课程的学习、</w:t>
      </w:r>
      <w:r>
        <w:rPr>
          <w:bCs/>
          <w:color w:val="auto"/>
        </w:rPr>
        <w:t>成绩合格</w:t>
      </w:r>
      <w:r>
        <w:rPr>
          <w:rFonts w:hint="eastAsia"/>
          <w:bCs/>
          <w:color w:val="auto"/>
        </w:rPr>
        <w:t>；随后进行与</w:t>
      </w:r>
      <w:r>
        <w:rPr>
          <w:bCs/>
          <w:color w:val="auto"/>
        </w:rPr>
        <w:t>专业相关的创新创业</w:t>
      </w:r>
      <w:r>
        <w:rPr>
          <w:rFonts w:hint="eastAsia"/>
          <w:bCs/>
          <w:color w:val="auto"/>
        </w:rPr>
        <w:t>且其</w:t>
      </w:r>
      <w:r>
        <w:rPr>
          <w:bCs/>
          <w:color w:val="auto"/>
        </w:rPr>
        <w:t>成绩特别突出</w:t>
      </w:r>
      <w:r>
        <w:rPr>
          <w:rFonts w:hint="eastAsia"/>
          <w:bCs/>
          <w:color w:val="auto"/>
        </w:rPr>
        <w:t>的、</w:t>
      </w:r>
      <w:r>
        <w:rPr>
          <w:bCs/>
          <w:color w:val="auto"/>
        </w:rPr>
        <w:t>经二级学院</w:t>
      </w:r>
      <w:r>
        <w:rPr>
          <w:rFonts w:hint="eastAsia"/>
          <w:bCs/>
          <w:color w:val="auto"/>
        </w:rPr>
        <w:t>教学</w:t>
      </w:r>
      <w:r>
        <w:rPr>
          <w:bCs/>
          <w:color w:val="auto"/>
        </w:rPr>
        <w:t>委员会</w:t>
      </w:r>
      <w:r>
        <w:rPr>
          <w:rFonts w:hint="eastAsia"/>
          <w:bCs/>
          <w:color w:val="auto"/>
        </w:rPr>
        <w:t>认定</w:t>
      </w:r>
      <w:r>
        <w:rPr>
          <w:bCs/>
          <w:color w:val="auto"/>
        </w:rPr>
        <w:t>，上报学校</w:t>
      </w:r>
      <w:r>
        <w:rPr>
          <w:rFonts w:hint="eastAsia"/>
          <w:bCs/>
          <w:color w:val="auto"/>
        </w:rPr>
        <w:t>教学</w:t>
      </w:r>
      <w:r>
        <w:rPr>
          <w:bCs/>
          <w:color w:val="auto"/>
        </w:rPr>
        <w:t>委员</w:t>
      </w:r>
      <w:r>
        <w:rPr>
          <w:rFonts w:hint="eastAsia"/>
          <w:bCs/>
          <w:color w:val="auto"/>
        </w:rPr>
        <w:t>会复核批准，准予毕业并授予学士学位。</w:t>
      </w:r>
    </w:p>
    <w:p>
      <w:pPr>
        <w:pStyle w:val="7"/>
        <w:spacing w:before="0" w:beforeAutospacing="0" w:after="0" w:afterAutospacing="0"/>
        <w:rPr>
          <w:rFonts w:hint="eastAsia"/>
          <w:b/>
          <w:color w:val="auto"/>
          <w:lang w:eastAsia="zh-CN"/>
        </w:rPr>
      </w:pPr>
      <w:r>
        <w:rPr>
          <w:rFonts w:hint="eastAsia"/>
          <w:b/>
          <w:bCs/>
          <w:color w:val="auto"/>
        </w:rPr>
        <w:t>八</w:t>
      </w:r>
      <w:r>
        <w:rPr>
          <w:rFonts w:hint="eastAsia"/>
          <w:b/>
          <w:color w:val="auto"/>
        </w:rPr>
        <w:t>、教学进程</w:t>
      </w:r>
      <w:bookmarkStart w:id="0" w:name="_四年制公共事业管理专业（卫生事业管理方向）人才培养方案"/>
      <w:bookmarkEnd w:id="0"/>
      <w:r>
        <w:rPr>
          <w:rFonts w:hint="eastAsia"/>
          <w:b/>
          <w:color w:val="auto"/>
        </w:rPr>
        <w:t>表</w:t>
      </w:r>
      <w:r>
        <w:rPr>
          <w:rFonts w:hint="eastAsia"/>
          <w:b/>
          <w:color w:val="auto"/>
          <w:lang w:eastAsia="zh-CN"/>
        </w:rPr>
        <w:t>（</w:t>
      </w:r>
      <w:r>
        <w:rPr>
          <w:rFonts w:hint="eastAsia"/>
          <w:b/>
          <w:color w:val="auto"/>
          <w:lang w:val="en-US" w:eastAsia="zh-CN"/>
        </w:rPr>
        <w:t>详见四年制医学信息工程专业教学进程表</w:t>
      </w:r>
      <w:bookmarkStart w:id="1" w:name="_GoBack"/>
      <w:bookmarkEnd w:id="1"/>
      <w:r>
        <w:rPr>
          <w:rFonts w:hint="eastAsia"/>
          <w:b/>
          <w:color w:val="auto"/>
          <w:lang w:eastAsia="zh-CN"/>
        </w:rPr>
        <w:t>）</w:t>
      </w:r>
    </w:p>
    <w:p>
      <w:pPr>
        <w:pStyle w:val="7"/>
        <w:spacing w:before="0" w:beforeAutospacing="0" w:after="0" w:afterAutospacing="0"/>
        <w:rPr>
          <w:rFonts w:hint="eastAsia"/>
          <w:b/>
          <w:color w:val="auto"/>
          <w:lang w:val="en-US" w:eastAsia="zh-CN"/>
        </w:rPr>
      </w:pPr>
      <w:r>
        <w:rPr>
          <w:rFonts w:hint="eastAsia"/>
          <w:b/>
          <w:color w:val="auto"/>
          <w:lang w:val="en-US" w:eastAsia="zh-CN"/>
        </w:rPr>
        <w:t>九、课程体系对培养要求指标点支撑矩阵图</w:t>
      </w:r>
    </w:p>
    <w:tbl>
      <w:tblPr>
        <w:tblStyle w:val="9"/>
        <w:tblpPr w:leftFromText="180" w:rightFromText="180" w:vertAnchor="text" w:horzAnchor="page" w:tblpX="254" w:tblpY="602"/>
        <w:tblOverlap w:val="never"/>
        <w:tblW w:w="117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6"/>
        <w:gridCol w:w="696"/>
        <w:gridCol w:w="376"/>
        <w:gridCol w:w="696"/>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1720" w:type="dxa"/>
            <w:gridSpan w:val="2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四年制医学信息工程专业课程体系对培养要求指标点支撑矩阵图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0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课程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模块</w:t>
            </w:r>
          </w:p>
        </w:tc>
        <w:tc>
          <w:tcPr>
            <w:tcW w:w="3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696"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课程名称</w:t>
            </w:r>
          </w:p>
        </w:tc>
        <w:tc>
          <w:tcPr>
            <w:tcW w:w="319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思想道德与职业素质目标</w:t>
            </w:r>
          </w:p>
        </w:tc>
        <w:tc>
          <w:tcPr>
            <w:tcW w:w="319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知识目标</w:t>
            </w:r>
          </w:p>
        </w:tc>
        <w:tc>
          <w:tcPr>
            <w:tcW w:w="319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技能目标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 w:hRule="atLeast"/>
        </w:trPr>
        <w:tc>
          <w:tcPr>
            <w:tcW w:w="10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2.3</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3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基础阶段课程</w:t>
            </w:r>
          </w:p>
        </w:tc>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思德修养·人文素质·行为科学</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军事理论</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英语</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体育</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2"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大学生心理健康教育</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2"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大学生安全教育</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劳动教育</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创业基础</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大学生职业发展与就业指导</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形势与政策</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2"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思想道德与法治</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2"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中国近现代史纲要</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89"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毛泽东思想和中国特色社会主义理论体系概论</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2"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马克思主义基本原理</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35"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习近平新时代中国特色社会主义思想概论</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6"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696"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大学生创新创业实践指导</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自然科学</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高等数学I、II</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2"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计算机基础技能实训</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线性代数</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医学物理学</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2"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概率论与数理统计</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卫生技术评估</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操作系统</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2" w:hRule="atLeast"/>
        </w:trPr>
        <w:tc>
          <w:tcPr>
            <w:tcW w:w="3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专业阶段课程</w:t>
            </w:r>
          </w:p>
        </w:tc>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信息理论基础</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23</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C语言程序设计</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数据结构</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6"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数据库原理及应用</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6" w:hRule="atLeast"/>
        </w:trPr>
        <w:tc>
          <w:tcPr>
            <w:tcW w:w="3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专业阶段课程</w:t>
            </w:r>
          </w:p>
        </w:tc>
        <w:tc>
          <w:tcPr>
            <w:tcW w:w="69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特色核心知识</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医学信息工程专业导论</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基础医学概论</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28</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临床医学概论</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2"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29</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Python程序设计</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医学信息学</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信息管理学</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2"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医学统计分析与实践</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2"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医疗仪器原理与应用</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6"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人工智能技术及医学应用</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2"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医疗物联网技术</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医院信息系统</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37</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医学成像与图像处理技术</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2"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医学大数据分析</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2"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通信电路与系统</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39</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电路电子学基础</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2"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数字电路技术基础</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2"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41</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微机原理与接口技术</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信息网络</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42</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Java程序设计</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43</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WEB应用开发</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2"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计算机网络与应用</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6"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45</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医院网络架构与设计实训</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2"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46</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信息系统分析与设计</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2"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47</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网络虚拟仿真实训</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2"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医学信息系统实训</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4" w:hRule="atLeast"/>
        </w:trPr>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96"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49</w:t>
            </w:r>
          </w:p>
        </w:tc>
        <w:tc>
          <w:tcPr>
            <w:tcW w:w="6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信息技术（IT）项目管理</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bl>
    <w:p>
      <w:pPr>
        <w:pStyle w:val="7"/>
        <w:spacing w:before="0" w:beforeAutospacing="0" w:after="0" w:afterAutospacing="0"/>
        <w:rPr>
          <w:rFonts w:hint="default"/>
          <w:b/>
          <w:color w:val="auto"/>
          <w:lang w:val="en-US" w:eastAsia="zh-CN"/>
        </w:rPr>
      </w:pPr>
    </w:p>
    <w:p>
      <w:pPr>
        <w:pStyle w:val="7"/>
        <w:spacing w:before="0" w:beforeAutospacing="0" w:after="0" w:afterAutospacing="0"/>
        <w:rPr>
          <w:rFonts w:hint="default"/>
          <w:b/>
          <w:color w:val="auto"/>
          <w:lang w:val="en-US" w:eastAsia="zh-CN"/>
        </w:rPr>
      </w:pPr>
    </w:p>
    <w:p>
      <w:pPr>
        <w:widowControl/>
        <w:ind w:firstLine="420"/>
        <w:jc w:val="left"/>
        <w:rPr>
          <w:rFonts w:asciiTheme="minorEastAsia" w:hAnsiTheme="minorEastAsia"/>
          <w:b/>
          <w:color w:val="auto"/>
          <w:sz w:val="24"/>
          <w:szCs w:val="24"/>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jNDk5ZmFlMDcyODBmN2IyMzZlZjhmY2UwNDhhMWUifQ=="/>
  </w:docVars>
  <w:rsids>
    <w:rsidRoot w:val="001C6EAB"/>
    <w:rsid w:val="0000125D"/>
    <w:rsid w:val="000A6DA6"/>
    <w:rsid w:val="000C725A"/>
    <w:rsid w:val="000D22B5"/>
    <w:rsid w:val="000D3F7A"/>
    <w:rsid w:val="00146915"/>
    <w:rsid w:val="001C6EAB"/>
    <w:rsid w:val="001D30A4"/>
    <w:rsid w:val="001E6105"/>
    <w:rsid w:val="00206AB4"/>
    <w:rsid w:val="0022424A"/>
    <w:rsid w:val="00232C08"/>
    <w:rsid w:val="00263A9C"/>
    <w:rsid w:val="00276E6F"/>
    <w:rsid w:val="0035293E"/>
    <w:rsid w:val="00373B70"/>
    <w:rsid w:val="003D5A1F"/>
    <w:rsid w:val="003E27B9"/>
    <w:rsid w:val="004F7FD2"/>
    <w:rsid w:val="0055768A"/>
    <w:rsid w:val="005640DD"/>
    <w:rsid w:val="00591DAA"/>
    <w:rsid w:val="00592A97"/>
    <w:rsid w:val="005B5897"/>
    <w:rsid w:val="006330E2"/>
    <w:rsid w:val="006624E6"/>
    <w:rsid w:val="006751D6"/>
    <w:rsid w:val="006B79B4"/>
    <w:rsid w:val="006E136A"/>
    <w:rsid w:val="0076115C"/>
    <w:rsid w:val="007933B7"/>
    <w:rsid w:val="00793CD9"/>
    <w:rsid w:val="007B0FE7"/>
    <w:rsid w:val="007B27BD"/>
    <w:rsid w:val="007D72EF"/>
    <w:rsid w:val="00847F17"/>
    <w:rsid w:val="008922F9"/>
    <w:rsid w:val="00895786"/>
    <w:rsid w:val="008A2A5C"/>
    <w:rsid w:val="008A394C"/>
    <w:rsid w:val="009C0634"/>
    <w:rsid w:val="009D31F1"/>
    <w:rsid w:val="00A2073B"/>
    <w:rsid w:val="00A507A5"/>
    <w:rsid w:val="00B14D18"/>
    <w:rsid w:val="00B416B2"/>
    <w:rsid w:val="00B5258A"/>
    <w:rsid w:val="00B942BD"/>
    <w:rsid w:val="00BD7DBC"/>
    <w:rsid w:val="00BE6EA3"/>
    <w:rsid w:val="00C25DCF"/>
    <w:rsid w:val="00C44900"/>
    <w:rsid w:val="00C75E65"/>
    <w:rsid w:val="00C912FC"/>
    <w:rsid w:val="00CF5990"/>
    <w:rsid w:val="00D420E3"/>
    <w:rsid w:val="00D44192"/>
    <w:rsid w:val="00D46671"/>
    <w:rsid w:val="00DE22CA"/>
    <w:rsid w:val="00DF5A01"/>
    <w:rsid w:val="00E00CE0"/>
    <w:rsid w:val="00E25DE9"/>
    <w:rsid w:val="00E30E48"/>
    <w:rsid w:val="00E34D20"/>
    <w:rsid w:val="00E477A7"/>
    <w:rsid w:val="00EC095B"/>
    <w:rsid w:val="00EC12BA"/>
    <w:rsid w:val="00EF4102"/>
    <w:rsid w:val="00F82157"/>
    <w:rsid w:val="00F85115"/>
    <w:rsid w:val="00F9019D"/>
    <w:rsid w:val="00F942A0"/>
    <w:rsid w:val="00F961EB"/>
    <w:rsid w:val="00FE0AA1"/>
    <w:rsid w:val="00FE5E7F"/>
    <w:rsid w:val="00FF2FD9"/>
    <w:rsid w:val="073D5CBF"/>
    <w:rsid w:val="0FB117BF"/>
    <w:rsid w:val="17BD36DB"/>
    <w:rsid w:val="25E3320B"/>
    <w:rsid w:val="26D90CD3"/>
    <w:rsid w:val="37FDBF8A"/>
    <w:rsid w:val="3FF71798"/>
    <w:rsid w:val="3FF89C0D"/>
    <w:rsid w:val="4FFCA2E0"/>
    <w:rsid w:val="55AA7B5C"/>
    <w:rsid w:val="58485E43"/>
    <w:rsid w:val="5FA7217C"/>
    <w:rsid w:val="61F61B00"/>
    <w:rsid w:val="6DB309E3"/>
    <w:rsid w:val="75684B5A"/>
    <w:rsid w:val="77FF02F4"/>
    <w:rsid w:val="7B5DCB0B"/>
    <w:rsid w:val="7F7E0ADC"/>
    <w:rsid w:val="BEF2738F"/>
    <w:rsid w:val="DFDFAC6B"/>
    <w:rsid w:val="EBD5D535"/>
    <w:rsid w:val="FE1F7D27"/>
    <w:rsid w:val="FEDEB522"/>
    <w:rsid w:val="FF692463"/>
    <w:rsid w:val="FF7F32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Body Text"/>
    <w:basedOn w:val="1"/>
    <w:link w:val="82"/>
    <w:unhideWhenUsed/>
    <w:qFormat/>
    <w:uiPriority w:val="99"/>
    <w:pPr>
      <w:spacing w:after="120"/>
    </w:pPr>
  </w:style>
  <w:style w:type="paragraph" w:styleId="4">
    <w:name w:val="Body Text Indent 2"/>
    <w:basedOn w:val="1"/>
    <w:link w:val="81"/>
    <w:qFormat/>
    <w:uiPriority w:val="99"/>
    <w:pPr>
      <w:spacing w:after="120" w:line="480" w:lineRule="auto"/>
      <w:ind w:left="420" w:leftChars="200"/>
    </w:pPr>
    <w:rPr>
      <w:rFonts w:ascii="Times New Roman" w:hAnsi="Times New Roman" w:eastAsia="宋体" w:cs="Times New Roman"/>
      <w:kern w:val="0"/>
      <w:sz w:val="24"/>
      <w:szCs w:val="20"/>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Times New Roman"/>
      <w:kern w:val="0"/>
      <w:sz w:val="24"/>
      <w:szCs w:val="24"/>
    </w:rPr>
  </w:style>
  <w:style w:type="paragraph" w:styleId="8">
    <w:name w:val="Body Text First Indent"/>
    <w:basedOn w:val="3"/>
    <w:link w:val="83"/>
    <w:unhideWhenUsed/>
    <w:qFormat/>
    <w:uiPriority w:val="99"/>
    <w:pPr>
      <w:ind w:firstLine="420" w:firstLineChars="100"/>
    </w:p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99"/>
    <w:rPr>
      <w:rFonts w:cs="Times New Roman"/>
      <w:b/>
    </w:rPr>
  </w:style>
  <w:style w:type="character" w:styleId="13">
    <w:name w:val="FollowedHyperlink"/>
    <w:basedOn w:val="11"/>
    <w:unhideWhenUsed/>
    <w:qFormat/>
    <w:uiPriority w:val="99"/>
    <w:rPr>
      <w:color w:val="800080"/>
      <w:u w:val="single"/>
    </w:rPr>
  </w:style>
  <w:style w:type="character" w:styleId="14">
    <w:name w:val="Hyperlink"/>
    <w:basedOn w:val="11"/>
    <w:unhideWhenUsed/>
    <w:qFormat/>
    <w:uiPriority w:val="99"/>
    <w:rPr>
      <w:color w:val="0000FF"/>
      <w:u w:val="single"/>
    </w:rPr>
  </w:style>
  <w:style w:type="paragraph" w:customStyle="1" w:styleId="15">
    <w:name w:val="List Paragraph"/>
    <w:basedOn w:val="1"/>
    <w:qFormat/>
    <w:uiPriority w:val="34"/>
    <w:pPr>
      <w:ind w:firstLine="420" w:firstLineChars="200"/>
    </w:pPr>
  </w:style>
  <w:style w:type="character" w:customStyle="1" w:styleId="16">
    <w:name w:val="标题 1 Char"/>
    <w:basedOn w:val="11"/>
    <w:link w:val="2"/>
    <w:qFormat/>
    <w:uiPriority w:val="9"/>
    <w:rPr>
      <w:b/>
      <w:bCs/>
      <w:kern w:val="44"/>
      <w:sz w:val="44"/>
      <w:szCs w:val="44"/>
    </w:rPr>
  </w:style>
  <w:style w:type="character" w:customStyle="1" w:styleId="17">
    <w:name w:val="页眉 Char"/>
    <w:basedOn w:val="11"/>
    <w:link w:val="6"/>
    <w:qFormat/>
    <w:uiPriority w:val="99"/>
    <w:rPr>
      <w:sz w:val="18"/>
      <w:szCs w:val="18"/>
    </w:rPr>
  </w:style>
  <w:style w:type="character" w:customStyle="1" w:styleId="18">
    <w:name w:val="页脚 Char"/>
    <w:basedOn w:val="11"/>
    <w:link w:val="5"/>
    <w:qFormat/>
    <w:uiPriority w:val="99"/>
    <w:rPr>
      <w:sz w:val="18"/>
      <w:szCs w:val="18"/>
    </w:rPr>
  </w:style>
  <w:style w:type="paragraph" w:customStyle="1" w:styleId="19">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0">
    <w:name w:val="font6"/>
    <w:basedOn w:val="1"/>
    <w:qFormat/>
    <w:uiPriority w:val="0"/>
    <w:pPr>
      <w:widowControl/>
      <w:spacing w:before="100" w:beforeAutospacing="1" w:after="100" w:afterAutospacing="1"/>
      <w:jc w:val="left"/>
    </w:pPr>
    <w:rPr>
      <w:rFonts w:ascii="宋体" w:hAnsi="宋体" w:eastAsia="宋体" w:cs="宋体"/>
      <w:color w:val="000000"/>
      <w:kern w:val="0"/>
      <w:sz w:val="16"/>
      <w:szCs w:val="16"/>
    </w:rPr>
  </w:style>
  <w:style w:type="paragraph" w:customStyle="1" w:styleId="21">
    <w:name w:val="xl102"/>
    <w:basedOn w:val="1"/>
    <w:qFormat/>
    <w:uiPriority w:val="0"/>
    <w:pPr>
      <w:widowControl/>
      <w:spacing w:before="100" w:beforeAutospacing="1" w:after="100" w:afterAutospacing="1"/>
      <w:jc w:val="left"/>
    </w:pPr>
    <w:rPr>
      <w:rFonts w:ascii="宋体" w:hAnsi="宋体" w:eastAsia="宋体" w:cs="宋体"/>
      <w:color w:val="FF0000"/>
      <w:kern w:val="0"/>
      <w:sz w:val="16"/>
      <w:szCs w:val="16"/>
    </w:rPr>
  </w:style>
  <w:style w:type="paragraph" w:customStyle="1" w:styleId="22">
    <w:name w:val="xl103"/>
    <w:basedOn w:val="1"/>
    <w:qFormat/>
    <w:uiPriority w:val="0"/>
    <w:pPr>
      <w:widowControl/>
      <w:spacing w:before="100" w:beforeAutospacing="1" w:after="100" w:afterAutospacing="1"/>
      <w:jc w:val="left"/>
    </w:pPr>
    <w:rPr>
      <w:rFonts w:ascii="宋体" w:hAnsi="宋体" w:eastAsia="宋体" w:cs="宋体"/>
      <w:kern w:val="0"/>
      <w:sz w:val="16"/>
      <w:szCs w:val="16"/>
    </w:rPr>
  </w:style>
  <w:style w:type="paragraph" w:customStyle="1" w:styleId="23">
    <w:name w:val="xl104"/>
    <w:basedOn w:val="1"/>
    <w:qFormat/>
    <w:uiPriority w:val="0"/>
    <w:pPr>
      <w:widowControl/>
      <w:spacing w:before="100" w:beforeAutospacing="1" w:after="100" w:afterAutospacing="1"/>
      <w:jc w:val="left"/>
      <w:textAlignment w:val="center"/>
    </w:pPr>
    <w:rPr>
      <w:rFonts w:ascii="宋体" w:hAnsi="宋体" w:eastAsia="宋体" w:cs="宋体"/>
      <w:b/>
      <w:bCs/>
      <w:kern w:val="0"/>
      <w:sz w:val="18"/>
      <w:szCs w:val="18"/>
    </w:rPr>
  </w:style>
  <w:style w:type="paragraph" w:customStyle="1" w:styleId="24">
    <w:name w:val="xl105"/>
    <w:basedOn w:val="1"/>
    <w:qFormat/>
    <w:uiPriority w:val="0"/>
    <w:pPr>
      <w:widowControl/>
      <w:spacing w:before="100" w:beforeAutospacing="1" w:after="100" w:afterAutospacing="1"/>
      <w:jc w:val="left"/>
      <w:textAlignment w:val="center"/>
    </w:pPr>
    <w:rPr>
      <w:rFonts w:ascii="宋体" w:hAnsi="宋体" w:eastAsia="宋体" w:cs="宋体"/>
      <w:kern w:val="0"/>
      <w:sz w:val="24"/>
      <w:szCs w:val="24"/>
    </w:rPr>
  </w:style>
  <w:style w:type="paragraph" w:customStyle="1" w:styleId="25">
    <w:name w:val="xl106"/>
    <w:basedOn w:val="1"/>
    <w:qFormat/>
    <w:uiPriority w:val="0"/>
    <w:pPr>
      <w:widowControl/>
      <w:spacing w:before="100" w:beforeAutospacing="1" w:after="100" w:afterAutospacing="1"/>
      <w:jc w:val="center"/>
      <w:textAlignment w:val="center"/>
    </w:pPr>
    <w:rPr>
      <w:rFonts w:ascii="宋体" w:hAnsi="宋体" w:eastAsia="宋体" w:cs="宋体"/>
      <w:kern w:val="0"/>
      <w:sz w:val="24"/>
      <w:szCs w:val="24"/>
    </w:rPr>
  </w:style>
  <w:style w:type="paragraph" w:customStyle="1" w:styleId="26">
    <w:name w:val="xl107"/>
    <w:basedOn w:val="1"/>
    <w:qFormat/>
    <w:uiPriority w:val="0"/>
    <w:pPr>
      <w:widowControl/>
      <w:spacing w:before="100" w:beforeAutospacing="1" w:after="100" w:afterAutospacing="1"/>
      <w:jc w:val="center"/>
      <w:textAlignment w:val="center"/>
    </w:pPr>
    <w:rPr>
      <w:rFonts w:ascii="宋体" w:hAnsi="宋体" w:eastAsia="宋体" w:cs="宋体"/>
      <w:kern w:val="0"/>
      <w:sz w:val="24"/>
      <w:szCs w:val="24"/>
    </w:rPr>
  </w:style>
  <w:style w:type="paragraph" w:customStyle="1" w:styleId="27">
    <w:name w:val="xl108"/>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8">
    <w:name w:val="xl109"/>
    <w:basedOn w:val="1"/>
    <w:qFormat/>
    <w:uiPriority w:val="0"/>
    <w:pPr>
      <w:widowControl/>
      <w:spacing w:before="100" w:beforeAutospacing="1" w:after="100" w:afterAutospacing="1"/>
      <w:jc w:val="center"/>
      <w:textAlignment w:val="center"/>
    </w:pPr>
    <w:rPr>
      <w:rFonts w:ascii="宋体" w:hAnsi="宋体" w:eastAsia="宋体" w:cs="宋体"/>
      <w:b/>
      <w:bCs/>
      <w:kern w:val="0"/>
      <w:sz w:val="18"/>
      <w:szCs w:val="18"/>
    </w:rPr>
  </w:style>
  <w:style w:type="paragraph" w:customStyle="1" w:styleId="29">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8"/>
      <w:szCs w:val="18"/>
    </w:rPr>
  </w:style>
  <w:style w:type="paragraph" w:customStyle="1" w:styleId="30">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31">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16"/>
      <w:szCs w:val="16"/>
    </w:rPr>
  </w:style>
  <w:style w:type="paragraph" w:customStyle="1" w:styleId="32">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33">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34">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16"/>
      <w:szCs w:val="16"/>
    </w:rPr>
  </w:style>
  <w:style w:type="paragraph" w:customStyle="1" w:styleId="35">
    <w:name w:val="xl1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36">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37">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38">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39">
    <w:name w:val="xl12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40">
    <w:name w:val="xl1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41">
    <w:name w:val="xl1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42">
    <w:name w:val="xl1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43">
    <w:name w:val="xl1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44">
    <w:name w:val="xl1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45">
    <w:name w:val="xl1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i/>
      <w:iCs/>
      <w:color w:val="000000"/>
      <w:kern w:val="0"/>
      <w:sz w:val="16"/>
      <w:szCs w:val="16"/>
    </w:rPr>
  </w:style>
  <w:style w:type="paragraph" w:customStyle="1" w:styleId="46">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47">
    <w:name w:val="xl1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18"/>
      <w:szCs w:val="18"/>
    </w:rPr>
  </w:style>
  <w:style w:type="paragraph" w:customStyle="1" w:styleId="48">
    <w:name w:val="xl1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16"/>
      <w:szCs w:val="16"/>
    </w:rPr>
  </w:style>
  <w:style w:type="paragraph" w:customStyle="1" w:styleId="49">
    <w:name w:val="xl1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50">
    <w:name w:val="xl131"/>
    <w:basedOn w:val="1"/>
    <w:qFormat/>
    <w:uiPriority w:val="0"/>
    <w:pPr>
      <w:widowControl/>
      <w:pBdr>
        <w:top w:val="single" w:color="auto" w:sz="4" w:space="0"/>
      </w:pBdr>
      <w:spacing w:before="100" w:beforeAutospacing="1" w:after="100" w:afterAutospacing="1"/>
      <w:jc w:val="center"/>
      <w:textAlignment w:val="center"/>
    </w:pPr>
    <w:rPr>
      <w:rFonts w:ascii="宋体" w:hAnsi="宋体" w:eastAsia="宋体" w:cs="宋体"/>
      <w:kern w:val="0"/>
      <w:sz w:val="16"/>
      <w:szCs w:val="16"/>
    </w:rPr>
  </w:style>
  <w:style w:type="paragraph" w:customStyle="1" w:styleId="51">
    <w:name w:val="xl132"/>
    <w:basedOn w:val="1"/>
    <w:qFormat/>
    <w:uiPriority w:val="0"/>
    <w:pPr>
      <w:widowControl/>
      <w:pBdr>
        <w:top w:val="single" w:color="auto" w:sz="4" w:space="0"/>
      </w:pBdr>
      <w:spacing w:before="100" w:beforeAutospacing="1" w:after="100" w:afterAutospacing="1"/>
      <w:jc w:val="center"/>
      <w:textAlignment w:val="center"/>
    </w:pPr>
    <w:rPr>
      <w:rFonts w:ascii="宋体" w:hAnsi="宋体" w:eastAsia="宋体" w:cs="宋体"/>
      <w:kern w:val="0"/>
      <w:sz w:val="16"/>
      <w:szCs w:val="16"/>
    </w:rPr>
  </w:style>
  <w:style w:type="paragraph" w:customStyle="1" w:styleId="52">
    <w:name w:val="xl1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16"/>
      <w:szCs w:val="16"/>
    </w:rPr>
  </w:style>
  <w:style w:type="paragraph" w:customStyle="1" w:styleId="53">
    <w:name w:val="xl1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54">
    <w:name w:val="xl135"/>
    <w:basedOn w:val="1"/>
    <w:qFormat/>
    <w:uiPriority w:val="0"/>
    <w:pPr>
      <w:widowControl/>
      <w:pBdr>
        <w:top w:val="single" w:color="auto" w:sz="4" w:space="0"/>
      </w:pBdr>
      <w:spacing w:before="100" w:beforeAutospacing="1" w:after="100" w:afterAutospacing="1"/>
      <w:jc w:val="center"/>
      <w:textAlignment w:val="center"/>
    </w:pPr>
    <w:rPr>
      <w:rFonts w:ascii="宋体" w:hAnsi="宋体" w:eastAsia="宋体" w:cs="宋体"/>
      <w:kern w:val="0"/>
      <w:sz w:val="16"/>
      <w:szCs w:val="16"/>
    </w:rPr>
  </w:style>
  <w:style w:type="paragraph" w:customStyle="1" w:styleId="55">
    <w:name w:val="xl136"/>
    <w:basedOn w:val="1"/>
    <w:qFormat/>
    <w:uiPriority w:val="0"/>
    <w:pPr>
      <w:widowControl/>
      <w:pBdr>
        <w:top w:val="single" w:color="auto" w:sz="4" w:space="0"/>
      </w:pBdr>
      <w:spacing w:before="100" w:beforeAutospacing="1" w:after="100" w:afterAutospacing="1"/>
      <w:jc w:val="center"/>
    </w:pPr>
    <w:rPr>
      <w:rFonts w:ascii="宋体" w:hAnsi="宋体" w:eastAsia="宋体" w:cs="宋体"/>
      <w:kern w:val="0"/>
      <w:sz w:val="16"/>
      <w:szCs w:val="16"/>
    </w:rPr>
  </w:style>
  <w:style w:type="paragraph" w:customStyle="1" w:styleId="56">
    <w:name w:val="xl137"/>
    <w:basedOn w:val="1"/>
    <w:qFormat/>
    <w:uiPriority w:val="0"/>
    <w:pPr>
      <w:widowControl/>
      <w:spacing w:before="100" w:beforeAutospacing="1" w:after="100" w:afterAutospacing="1"/>
      <w:jc w:val="center"/>
      <w:textAlignment w:val="center"/>
    </w:pPr>
    <w:rPr>
      <w:rFonts w:ascii="宋体" w:hAnsi="宋体" w:eastAsia="宋体" w:cs="宋体"/>
      <w:kern w:val="0"/>
      <w:sz w:val="18"/>
      <w:szCs w:val="18"/>
    </w:rPr>
  </w:style>
  <w:style w:type="paragraph" w:customStyle="1" w:styleId="57">
    <w:name w:val="xl1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FF0000"/>
      <w:kern w:val="0"/>
      <w:sz w:val="16"/>
      <w:szCs w:val="16"/>
    </w:rPr>
  </w:style>
  <w:style w:type="paragraph" w:customStyle="1" w:styleId="58">
    <w:name w:val="xl1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FF0000"/>
      <w:kern w:val="0"/>
      <w:sz w:val="16"/>
      <w:szCs w:val="16"/>
    </w:rPr>
  </w:style>
  <w:style w:type="paragraph" w:customStyle="1" w:styleId="59">
    <w:name w:val="xl1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FF0000"/>
      <w:kern w:val="0"/>
      <w:sz w:val="16"/>
      <w:szCs w:val="16"/>
    </w:rPr>
  </w:style>
  <w:style w:type="paragraph" w:customStyle="1" w:styleId="60">
    <w:name w:val="xl1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FF0000"/>
      <w:kern w:val="0"/>
      <w:sz w:val="16"/>
      <w:szCs w:val="16"/>
    </w:rPr>
  </w:style>
  <w:style w:type="paragraph" w:customStyle="1" w:styleId="61">
    <w:name w:val="xl1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FF0000"/>
      <w:kern w:val="0"/>
      <w:sz w:val="16"/>
      <w:szCs w:val="16"/>
    </w:rPr>
  </w:style>
  <w:style w:type="paragraph" w:customStyle="1" w:styleId="62">
    <w:name w:val="xl1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FF0000"/>
      <w:kern w:val="0"/>
      <w:sz w:val="16"/>
      <w:szCs w:val="16"/>
    </w:rPr>
  </w:style>
  <w:style w:type="paragraph" w:customStyle="1" w:styleId="63">
    <w:name w:val="xl1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FF0000"/>
      <w:kern w:val="0"/>
      <w:sz w:val="16"/>
      <w:szCs w:val="16"/>
    </w:rPr>
  </w:style>
  <w:style w:type="paragraph" w:customStyle="1" w:styleId="64">
    <w:name w:val="xl1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FF0000"/>
      <w:kern w:val="0"/>
      <w:sz w:val="16"/>
      <w:szCs w:val="16"/>
    </w:rPr>
  </w:style>
  <w:style w:type="paragraph" w:customStyle="1" w:styleId="65">
    <w:name w:val="xl146"/>
    <w:basedOn w:val="1"/>
    <w:qFormat/>
    <w:uiPriority w:val="0"/>
    <w:pPr>
      <w:widowControl/>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66">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8"/>
      <w:szCs w:val="18"/>
    </w:rPr>
  </w:style>
  <w:style w:type="paragraph" w:customStyle="1" w:styleId="67">
    <w:name w:val="xl1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8"/>
      <w:szCs w:val="18"/>
    </w:rPr>
  </w:style>
  <w:style w:type="paragraph" w:customStyle="1" w:styleId="68">
    <w:name w:val="xl14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eastAsia="宋体" w:cs="宋体"/>
      <w:color w:val="000000"/>
      <w:kern w:val="0"/>
      <w:sz w:val="18"/>
      <w:szCs w:val="18"/>
    </w:rPr>
  </w:style>
  <w:style w:type="paragraph" w:customStyle="1" w:styleId="69">
    <w:name w:val="xl15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eastAsia="宋体" w:cs="宋体"/>
      <w:color w:val="000000"/>
      <w:kern w:val="0"/>
      <w:sz w:val="18"/>
      <w:szCs w:val="18"/>
    </w:rPr>
  </w:style>
  <w:style w:type="paragraph" w:customStyle="1" w:styleId="70">
    <w:name w:val="xl15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8"/>
      <w:szCs w:val="18"/>
    </w:rPr>
  </w:style>
  <w:style w:type="paragraph" w:customStyle="1" w:styleId="71">
    <w:name w:val="xl1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16"/>
      <w:szCs w:val="16"/>
    </w:rPr>
  </w:style>
  <w:style w:type="paragraph" w:customStyle="1" w:styleId="72">
    <w:name w:val="xl1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73">
    <w:name w:val="xl1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74">
    <w:name w:val="xl15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75">
    <w:name w:val="xl1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24"/>
      <w:szCs w:val="24"/>
    </w:rPr>
  </w:style>
  <w:style w:type="paragraph" w:customStyle="1" w:styleId="76">
    <w:name w:val="xl1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77">
    <w:name w:val="xl158"/>
    <w:basedOn w:val="1"/>
    <w:qFormat/>
    <w:uiPriority w:val="0"/>
    <w:pPr>
      <w:widowControl/>
      <w:spacing w:before="100" w:beforeAutospacing="1" w:after="100" w:afterAutospacing="1"/>
      <w:jc w:val="left"/>
      <w:textAlignment w:val="center"/>
    </w:pPr>
    <w:rPr>
      <w:rFonts w:ascii="宋体" w:hAnsi="宋体" w:eastAsia="宋体" w:cs="宋体"/>
      <w:kern w:val="0"/>
      <w:sz w:val="18"/>
      <w:szCs w:val="18"/>
    </w:rPr>
  </w:style>
  <w:style w:type="paragraph" w:customStyle="1" w:styleId="78">
    <w:name w:val="xl15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79">
    <w:name w:val="xl160"/>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paragraph" w:customStyle="1" w:styleId="80">
    <w:name w:val="xl16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16"/>
      <w:szCs w:val="16"/>
    </w:rPr>
  </w:style>
  <w:style w:type="character" w:customStyle="1" w:styleId="81">
    <w:name w:val="正文文本缩进 2 Char"/>
    <w:basedOn w:val="11"/>
    <w:link w:val="4"/>
    <w:qFormat/>
    <w:uiPriority w:val="99"/>
    <w:rPr>
      <w:rFonts w:ascii="Times New Roman" w:hAnsi="Times New Roman" w:eastAsia="宋体" w:cs="Times New Roman"/>
      <w:sz w:val="24"/>
    </w:rPr>
  </w:style>
  <w:style w:type="character" w:customStyle="1" w:styleId="82">
    <w:name w:val="正文文本 Char"/>
    <w:basedOn w:val="11"/>
    <w:link w:val="3"/>
    <w:semiHidden/>
    <w:qFormat/>
    <w:uiPriority w:val="99"/>
    <w:rPr>
      <w:kern w:val="2"/>
      <w:sz w:val="21"/>
      <w:szCs w:val="22"/>
    </w:rPr>
  </w:style>
  <w:style w:type="character" w:customStyle="1" w:styleId="83">
    <w:name w:val="正文首行缩进 Char"/>
    <w:basedOn w:val="82"/>
    <w:link w:val="8"/>
    <w:semiHidden/>
    <w:qFormat/>
    <w:uiPriority w:val="99"/>
    <w:rPr>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Lxtx99.CoM</Company>
  <Pages>3</Pages>
  <Words>2353</Words>
  <Characters>2435</Characters>
  <Lines>17</Lines>
  <Paragraphs>5</Paragraphs>
  <TotalTime>1</TotalTime>
  <ScaleCrop>false</ScaleCrop>
  <LinksUpToDate>false</LinksUpToDate>
  <CharactersWithSpaces>2473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2019-04-29T09:06:00Z</dcterms:created>
  <dc:creator>k03</dc:creator>
  <cp:lastModifiedBy>dell</cp:lastModifiedBy>
  <dcterms:modified xsi:type="dcterms:W3CDTF">2023-06-26T09:28:06Z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7D716168BF54DFBE73762D6424981536</vt:lpwstr>
  </property>
</Properties>
</file>