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</w:pPr>
      <w:bookmarkStart w:id="6" w:name="_GoBack"/>
      <w:r>
        <w:rPr>
          <w:rFonts w:hint="eastAsia" w:ascii="Arial" w:hAnsi="Arial" w:eastAsia="黑体" w:cs="Times New Roman"/>
          <w:b/>
          <w:bCs/>
          <w:color w:val="auto"/>
          <w:sz w:val="32"/>
          <w:szCs w:val="32"/>
          <w:highlight w:val="none"/>
        </w:rPr>
        <w:t>四年制健康服务与管理专业人才培养方案</w:t>
      </w:r>
    </w:p>
    <w:p>
      <w:pPr>
        <w:rPr>
          <w:rFonts w:cs="仿宋" w:asciiTheme="minorEastAsia" w:hAnsiTheme="minorEastAsia"/>
          <w:b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</w:rPr>
        <w:t>一、培养目标</w:t>
      </w:r>
      <w:r>
        <w:rPr>
          <w:rFonts w:hint="eastAsia" w:cs="仿宋" w:asciiTheme="minorEastAsia" w:hAnsiTheme="minorEastAsia"/>
          <w:b/>
          <w:color w:val="auto"/>
          <w:sz w:val="24"/>
          <w:szCs w:val="24"/>
          <w:highlight w:val="none"/>
        </w:rPr>
        <w:t xml:space="preserve"> </w:t>
      </w:r>
    </w:p>
    <w:p>
      <w:pPr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培养</w:t>
      </w:r>
      <w:r>
        <w:rPr>
          <w:rFonts w:hint="eastAsia" w:ascii="宋体" w:hAnsi="宋体"/>
          <w:sz w:val="24"/>
          <w:szCs w:val="24"/>
          <w:highlight w:val="none"/>
        </w:rPr>
        <w:t>德智体美劳全面发展</w:t>
      </w:r>
      <w:r>
        <w:rPr>
          <w:rFonts w:hint="eastAsia" w:ascii="宋体" w:hAnsi="宋体"/>
          <w:highlight w:val="none"/>
          <w:lang w:eastAsia="zh-CN"/>
        </w:rPr>
        <w:t>，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具备健康管理学和医学基本理论、基本知识，掌握健康服务与管理的基本技能，具有独立开展健康评估、健康管理和健康服务的能力，能够适应新时代“健康中国”“健康广西”发展战略的高素质应用型健康管理人才。学生毕业后能熟练应用相关知识和技术，在健康管理机构、健康保险机构、社区卫生服务机构、养老机构等从事相关工作的应用型健康管理专业人才。</w:t>
      </w:r>
    </w:p>
    <w:p>
      <w:pPr>
        <w:rPr>
          <w:rFonts w:cs="仿宋" w:asciiTheme="minorEastAsia" w:hAnsi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color w:val="auto"/>
          <w:sz w:val="24"/>
          <w:szCs w:val="24"/>
          <w:highlight w:val="none"/>
        </w:rPr>
        <w:t>二、培养要求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baseline"/>
        <w:outlineLvl w:val="9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（一）思想道德与职业素质。</w:t>
      </w:r>
    </w:p>
    <w:p>
      <w:pPr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热爱祖国，拥护中国共产党的领导，拥护社会主义制度，具有正确的人生观、世界观、价值观；具有良好的思想品德、社会责任感、行为规范和职业道德；热爱健康服务与管理事业，具有遵纪守法、敬业爱岗、诚实守信、团结合作的品质；具有严谨的科学态度、积极的创新精神和终生学习的观念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bookmarkStart w:id="0" w:name="_Toc402232827"/>
      <w:bookmarkStart w:id="1" w:name="_Toc402233684"/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（二）</w:t>
      </w:r>
      <w:bookmarkEnd w:id="0"/>
      <w:bookmarkEnd w:id="1"/>
      <w:bookmarkStart w:id="2" w:name="_Toc402233685"/>
      <w:bookmarkStart w:id="3" w:name="_Toc402232828"/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知识素质</w:t>
      </w:r>
      <w:bookmarkEnd w:id="2"/>
      <w:bookmarkEnd w:id="3"/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。</w:t>
      </w:r>
    </w:p>
    <w:p>
      <w:pPr>
        <w:adjustRightInd w:val="0"/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具有较宽厚的自然科学基础，较系统地掌握本专业的基础理论、基本知识和基本技能；掌握一门外语，能顺利阅读本专业的外文书刊和日常的听说能力；具有较强的计算机编程和统计软件应用能力，能够利用最新的检索工具进行科研文献检索，具有独立获取新知识的能力和较强的分析能力与创新能力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bookmarkStart w:id="4" w:name="_Toc402232829"/>
      <w:bookmarkStart w:id="5" w:name="_Toc402233686"/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（三）人文素质。</w:t>
      </w:r>
    </w:p>
    <w:p>
      <w:pPr>
        <w:adjustRightInd w:val="0"/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具有较广泛的人文社会科学基础，基本了解文学、历史、哲学、艺术和现代科学技术的发展，深刻了解生物统计学与人文社会科学之间的内在联系；养成较好的文化修养、优良的道德情操和健康的心理品质，行为端庄，举止文明；具有较强的历史责任感和事业心。</w:t>
      </w:r>
    </w:p>
    <w:p>
      <w:pPr>
        <w:keepNext/>
        <w:keepLines/>
        <w:adjustRightInd w:val="0"/>
        <w:snapToGrid w:val="0"/>
        <w:ind w:firstLine="480" w:firstLineChars="200"/>
        <w:textAlignment w:val="baseline"/>
        <w:outlineLvl w:val="2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（四）身心素质</w:t>
      </w:r>
      <w:bookmarkEnd w:id="4"/>
      <w:bookmarkEnd w:id="5"/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。</w:t>
      </w:r>
    </w:p>
    <w:p>
      <w:pPr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了解体育和军事的基本知识，掌握锻炼身体的基本技能，达到国家规定的体育锻炼合格标准，人格健全，意志坚定，有正确的自我意识和良好的人际关系，能与社会和环境发展变化相协调，具有较强的情绪自控能力，具有强健的体质和良好的心理素质。</w:t>
      </w:r>
    </w:p>
    <w:p>
      <w:pPr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（五）教学方法。</w:t>
      </w:r>
    </w:p>
    <w:p>
      <w:pPr>
        <w:snapToGrid w:val="0"/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坚持“以学生为中心”的教学模式，采用引导式、启发式、互动式、PBL等课堂教学形式，充分运用问题讨论、案例分析、情景模拟、实地操作等教学方法。注重启发思路、创新精神和创新能力培养，提高分析问题和解决问题的能力。鼓励学生个人特点和专长的发挥，开展多种学术观点的研讨，追踪本学科领域的最新进展，提高学生自主学习和独立思考的能力。专业课和专业基础课以小班授课为主。</w:t>
      </w:r>
    </w:p>
    <w:p>
      <w:pPr>
        <w:rPr>
          <w:rFonts w:cs="仿宋" w:asciiTheme="minorEastAsia" w:hAnsiTheme="minorEastAsia"/>
          <w:b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color w:val="auto"/>
          <w:sz w:val="24"/>
          <w:szCs w:val="24"/>
          <w:highlight w:val="none"/>
        </w:rPr>
        <w:t>三、主干学科和主要课程</w:t>
      </w:r>
    </w:p>
    <w:p>
      <w:pPr>
        <w:ind w:firstLine="470" w:firstLineChars="196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主要学习现代医学基本知识、公共卫生知识、管理科学、卫生管理基础知识和基本技能以及健康服务与管理基本知识，并接受健康服务与管理专业技能与方法的培训和训练。</w:t>
      </w:r>
    </w:p>
    <w:p>
      <w:pPr>
        <w:ind w:firstLine="470" w:firstLineChars="196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主干学科：健康管理学。</w:t>
      </w:r>
    </w:p>
    <w:p>
      <w:pPr>
        <w:ind w:firstLine="470" w:firstLineChars="196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主要课程：基础医学概论、临床医学概论、中医养生与食疗、信息检索与利用、管理学基础、流行病学、预防医学、医院信息学、卫生技术评估、公共关系学、健康管理学、卫生经济学、卫生政策学、社会医学、医院管理学、健康教育与促进、健康保障、健康服务礼仪与沟通、老年健康服务与管理、社区健康服务与管理、体质健康评价与运动处方、健康管理技术与实训等等。</w:t>
      </w:r>
    </w:p>
    <w:p>
      <w:pPr>
        <w:rPr>
          <w:rFonts w:cs="黑体" w:asciiTheme="minorEastAsia" w:hAnsi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</w:rPr>
        <w:t>四、主要实践教学环节</w:t>
      </w:r>
    </w:p>
    <w:p>
      <w:pPr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（一）军事训练2周，安排在第一学期进行，计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2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学分。</w:t>
      </w:r>
    </w:p>
    <w:p>
      <w:pPr>
        <w:pStyle w:val="11"/>
        <w:spacing w:before="0" w:beforeAutospacing="0" w:after="0" w:afterAutospacing="0"/>
        <w:ind w:firstLine="480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/>
          <w:color w:val="auto"/>
          <w:highlight w:val="none"/>
        </w:rPr>
        <w:t>（</w:t>
      </w:r>
      <w:r>
        <w:rPr>
          <w:rFonts w:hint="eastAsia" w:ascii="Times New Roman"/>
          <w:color w:val="auto"/>
          <w:highlight w:val="none"/>
        </w:rPr>
        <w:t>二</w:t>
      </w:r>
      <w:r>
        <w:rPr>
          <w:rFonts w:ascii="Times New Roman"/>
          <w:color w:val="auto"/>
          <w:highlight w:val="none"/>
        </w:rPr>
        <w:t>）社会实践</w:t>
      </w:r>
      <w:r>
        <w:rPr>
          <w:rFonts w:ascii="Times New Roman" w:hAnsi="Times New Roman"/>
          <w:color w:val="auto"/>
          <w:highlight w:val="none"/>
        </w:rPr>
        <w:t>2</w:t>
      </w:r>
      <w:r>
        <w:rPr>
          <w:rFonts w:ascii="Times New Roman"/>
          <w:color w:val="auto"/>
          <w:highlight w:val="none"/>
        </w:rPr>
        <w:t>周，安排在假期，计</w:t>
      </w:r>
      <w:r>
        <w:rPr>
          <w:rFonts w:ascii="Times New Roman" w:hAnsi="Times New Roman"/>
          <w:color w:val="auto"/>
          <w:highlight w:val="none"/>
        </w:rPr>
        <w:t>2</w:t>
      </w:r>
      <w:r>
        <w:rPr>
          <w:rFonts w:ascii="Times New Roman"/>
          <w:color w:val="auto"/>
          <w:highlight w:val="none"/>
        </w:rPr>
        <w:t>学分。</w:t>
      </w:r>
    </w:p>
    <w:p>
      <w:pPr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（三）</w:t>
      </w:r>
      <w:r>
        <w:rPr>
          <w:rFonts w:hint="eastAsia" w:ascii="Times New Roman" w:hAnsi="宋体" w:eastAsia="宋体" w:cs="Times New Roman"/>
          <w:color w:val="auto"/>
          <w:kern w:val="0"/>
          <w:sz w:val="24"/>
          <w:szCs w:val="24"/>
          <w:highlight w:val="none"/>
          <w:lang w:val="en-US" w:eastAsia="zh-CN" w:bidi="ar-SA"/>
        </w:rPr>
        <w:t>毕业实习24周，计12学分； 毕业论文撰写与答辩24周，计12学分。</w:t>
      </w:r>
    </w:p>
    <w:p>
      <w:pPr>
        <w:pStyle w:val="11"/>
        <w:spacing w:before="0" w:beforeAutospacing="0" w:after="0" w:afterAutospacing="0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</w:t>
      </w:r>
      <w:r>
        <w:rPr>
          <w:rFonts w:hint="eastAsia" w:ascii="Times New Roman" w:hAnsi="Times New Roman"/>
          <w:color w:val="auto"/>
          <w:highlight w:val="none"/>
        </w:rPr>
        <w:t>四</w:t>
      </w:r>
      <w:r>
        <w:rPr>
          <w:rFonts w:ascii="Times New Roman" w:hAnsi="Times New Roman"/>
          <w:color w:val="auto"/>
          <w:highlight w:val="none"/>
        </w:rPr>
        <w:t>）创新创业素质拓展，3学分</w:t>
      </w:r>
      <w:r>
        <w:rPr>
          <w:rFonts w:hint="eastAsia" w:ascii="Times New Roman" w:hAnsi="Times New Roman"/>
          <w:color w:val="auto"/>
          <w:highlight w:val="none"/>
        </w:rPr>
        <w:t>。</w:t>
      </w:r>
    </w:p>
    <w:p>
      <w:pPr>
        <w:pStyle w:val="11"/>
        <w:spacing w:before="0" w:beforeAutospacing="0" w:after="0" w:afterAutospacing="0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1.</w:t>
      </w:r>
      <w:r>
        <w:rPr>
          <w:rFonts w:hint="eastAsia"/>
          <w:color w:val="auto"/>
          <w:highlight w:val="none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11"/>
        <w:spacing w:before="0" w:beforeAutospacing="0" w:after="0" w:afterAutospacing="0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2.</w:t>
      </w:r>
      <w:r>
        <w:rPr>
          <w:rFonts w:hint="eastAsia"/>
          <w:color w:val="auto"/>
          <w:highlight w:val="none"/>
        </w:rPr>
        <w:t>主持“互联网+”大学生创新创业大赛项目，报名成功并进入校级比赛的，每项3学分；参与该项目的，每项1.5学分；</w:t>
      </w:r>
    </w:p>
    <w:p>
      <w:pPr>
        <w:pStyle w:val="11"/>
        <w:spacing w:before="0" w:beforeAutospacing="0" w:after="0" w:afterAutospacing="0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3.</w:t>
      </w:r>
      <w:r>
        <w:rPr>
          <w:rFonts w:hint="eastAsia"/>
          <w:color w:val="auto"/>
          <w:highlight w:val="none"/>
        </w:rPr>
        <w:t>符合《广西医科大学本科生课外素质教育奖励学分实施管理办法（2017年9月修订）》（桂医大教〔2017〕69号）文件</w:t>
      </w:r>
      <w:r>
        <w:rPr>
          <w:color w:val="auto"/>
          <w:highlight w:val="none"/>
        </w:rPr>
        <w:t>中</w:t>
      </w:r>
      <w:r>
        <w:rPr>
          <w:rFonts w:hint="eastAsia"/>
          <w:color w:val="auto"/>
          <w:highlight w:val="none"/>
        </w:rPr>
        <w:t>学分奖励条件，获得的奖励学分可作为创新创业素质拓展学分（文件中第三类别：创新创业训练奖励学分除外）。</w:t>
      </w:r>
    </w:p>
    <w:p>
      <w:pPr>
        <w:rPr>
          <w:rFonts w:cs="黑体" w:asciiTheme="minorEastAsia" w:hAnsiTheme="minorEastAsia"/>
          <w:b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color w:val="auto"/>
          <w:sz w:val="24"/>
          <w:szCs w:val="24"/>
          <w:highlight w:val="none"/>
        </w:rPr>
        <w:t xml:space="preserve">五、课程设置 </w:t>
      </w:r>
    </w:p>
    <w:p>
      <w:pPr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（一）必修课程（共</w:t>
      </w:r>
      <w:r>
        <w:rPr>
          <w:rFonts w:cs="仿宋" w:asciiTheme="minorEastAsia" w:hAnsiTheme="minorEastAsia"/>
          <w:color w:val="auto"/>
          <w:sz w:val="24"/>
          <w:szCs w:val="24"/>
          <w:highlight w:val="none"/>
        </w:rPr>
        <w:t>39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门、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18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  <w:lang w:val="en-US" w:eastAsia="zh-CN"/>
        </w:rPr>
        <w:t>31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学时、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10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学分）</w:t>
      </w:r>
    </w:p>
    <w:p>
      <w:pPr>
        <w:ind w:firstLine="480" w:firstLineChars="200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（二）限选课</w:t>
      </w:r>
      <w:r>
        <w:rPr>
          <w:rFonts w:cs="仿宋" w:asciiTheme="minorEastAsia" w:hAnsiTheme="minorEastAsia"/>
          <w:color w:val="auto"/>
          <w:sz w:val="24"/>
          <w:szCs w:val="24"/>
          <w:highlight w:val="none"/>
        </w:rPr>
        <w:t>（</w:t>
      </w: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13学分</w:t>
      </w:r>
      <w:r>
        <w:rPr>
          <w:rFonts w:cs="仿宋" w:asciiTheme="minorEastAsia" w:hAnsiTheme="minorEastAsia"/>
          <w:color w:val="auto"/>
          <w:sz w:val="24"/>
          <w:szCs w:val="24"/>
          <w:highlight w:val="none"/>
        </w:rPr>
        <w:t>）</w:t>
      </w:r>
    </w:p>
    <w:p>
      <w:pPr>
        <w:ind w:firstLine="480" w:firstLineChars="200"/>
        <w:jc w:val="left"/>
        <w:rPr>
          <w:rStyle w:val="16"/>
          <w:b w:val="0"/>
          <w:color w:val="auto"/>
          <w:sz w:val="24"/>
          <w:highlight w:val="none"/>
        </w:rPr>
      </w:pPr>
      <w:r>
        <w:rPr>
          <w:rStyle w:val="16"/>
          <w:rFonts w:hint="eastAsia"/>
          <w:b w:val="0"/>
          <w:color w:val="auto"/>
          <w:sz w:val="24"/>
          <w:highlight w:val="none"/>
        </w:rPr>
        <w:t>（三）任选课（15学分）</w:t>
      </w:r>
    </w:p>
    <w:p>
      <w:pPr>
        <w:pStyle w:val="11"/>
        <w:spacing w:before="0" w:beforeAutospacing="0" w:after="0" w:afterAutospacing="0"/>
        <w:ind w:firstLine="480" w:firstLineChars="20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Fonts w:cs="宋体"/>
          <w:color w:val="auto"/>
          <w:highlight w:val="none"/>
        </w:rPr>
        <w:t>公共艺术类课程须修读2学分</w:t>
      </w:r>
      <w:r>
        <w:rPr>
          <w:rFonts w:hint="eastAsia" w:cs="宋体"/>
          <w:color w:val="auto"/>
          <w:highlight w:val="none"/>
        </w:rPr>
        <w:t>及</w:t>
      </w:r>
      <w:r>
        <w:rPr>
          <w:rFonts w:cs="宋体"/>
          <w:color w:val="auto"/>
          <w:highlight w:val="none"/>
        </w:rPr>
        <w:t>以上。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>
      <w:pPr>
        <w:ind w:firstLine="480" w:firstLineChars="200"/>
        <w:jc w:val="left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（四）</w:t>
      </w:r>
      <w:r>
        <w:rPr>
          <w:rFonts w:hint="eastAsia" w:ascii="Times New Roman" w:hAnsi="宋体" w:eastAsia="宋体" w:cs="Times New Roman"/>
          <w:color w:val="auto"/>
          <w:kern w:val="0"/>
          <w:sz w:val="24"/>
          <w:szCs w:val="24"/>
          <w:highlight w:val="none"/>
          <w:lang w:val="en-US" w:eastAsia="zh-CN" w:bidi="ar-SA"/>
        </w:rPr>
        <w:t>毕业实习24周，计12学分； 毕业论文撰写与答辩24周，计12学分。</w:t>
      </w:r>
    </w:p>
    <w:p>
      <w:pPr>
        <w:ind w:firstLine="480" w:firstLineChars="200"/>
        <w:jc w:val="left"/>
        <w:rPr>
          <w:rFonts w:cs="仿宋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sz w:val="24"/>
          <w:szCs w:val="24"/>
          <w:highlight w:val="none"/>
        </w:rPr>
        <w:t>（五）社会实践</w:t>
      </w:r>
    </w:p>
    <w:p>
      <w:pPr>
        <w:ind w:firstLine="480" w:firstLineChars="200"/>
        <w:jc w:val="left"/>
        <w:rPr>
          <w:bCs/>
          <w:color w:val="auto"/>
          <w:sz w:val="24"/>
          <w:highlight w:val="none"/>
        </w:rPr>
      </w:pPr>
      <w:r>
        <w:rPr>
          <w:rFonts w:hint="eastAsia" w:hAnsi="宋体"/>
          <w:bCs/>
          <w:color w:val="auto"/>
          <w:sz w:val="24"/>
          <w:highlight w:val="none"/>
        </w:rPr>
        <w:t xml:space="preserve">1. </w:t>
      </w:r>
      <w:r>
        <w:rPr>
          <w:rFonts w:hAnsi="宋体"/>
          <w:bCs/>
          <w:color w:val="auto"/>
          <w:sz w:val="24"/>
          <w:highlight w:val="none"/>
        </w:rPr>
        <w:t>假期社会实践：寒暑假社会实践，</w:t>
      </w:r>
      <w:r>
        <w:rPr>
          <w:bCs/>
          <w:color w:val="auto"/>
          <w:sz w:val="24"/>
          <w:highlight w:val="none"/>
        </w:rPr>
        <w:t>36</w:t>
      </w:r>
      <w:r>
        <w:rPr>
          <w:rFonts w:hAnsi="宋体"/>
          <w:bCs/>
          <w:color w:val="auto"/>
          <w:sz w:val="24"/>
          <w:highlight w:val="none"/>
        </w:rPr>
        <w:t>学时（</w:t>
      </w:r>
      <w:r>
        <w:rPr>
          <w:bCs/>
          <w:color w:val="auto"/>
          <w:sz w:val="24"/>
          <w:highlight w:val="none"/>
        </w:rPr>
        <w:t>1</w:t>
      </w:r>
      <w:r>
        <w:rPr>
          <w:rFonts w:hAnsi="宋体"/>
          <w:bCs/>
          <w:color w:val="auto"/>
          <w:sz w:val="24"/>
          <w:highlight w:val="none"/>
        </w:rPr>
        <w:t>周）计</w:t>
      </w:r>
      <w:r>
        <w:rPr>
          <w:bCs/>
          <w:color w:val="auto"/>
          <w:sz w:val="24"/>
          <w:highlight w:val="none"/>
        </w:rPr>
        <w:t>1</w:t>
      </w:r>
      <w:r>
        <w:rPr>
          <w:rFonts w:hAnsi="宋体"/>
          <w:bCs/>
          <w:color w:val="auto"/>
          <w:sz w:val="24"/>
          <w:highlight w:val="none"/>
        </w:rPr>
        <w:t>学分。</w:t>
      </w:r>
    </w:p>
    <w:p>
      <w:pPr>
        <w:ind w:firstLine="480" w:firstLineChars="200"/>
        <w:jc w:val="left"/>
        <w:rPr>
          <w:rFonts w:hAnsi="宋体"/>
          <w:bCs/>
          <w:color w:val="auto"/>
          <w:sz w:val="24"/>
          <w:highlight w:val="none"/>
        </w:rPr>
      </w:pPr>
      <w:r>
        <w:rPr>
          <w:rFonts w:hint="eastAsia" w:hAnsi="宋体"/>
          <w:bCs/>
          <w:color w:val="auto"/>
          <w:sz w:val="24"/>
          <w:highlight w:val="none"/>
        </w:rPr>
        <w:t xml:space="preserve">2. </w:t>
      </w:r>
      <w:r>
        <w:rPr>
          <w:rFonts w:hAnsi="宋体"/>
          <w:bCs/>
          <w:color w:val="auto"/>
          <w:sz w:val="24"/>
          <w:highlight w:val="none"/>
        </w:rPr>
        <w:t>志愿服务：校内外志愿服务活动，36学时（1周）计1学分。</w:t>
      </w:r>
    </w:p>
    <w:p>
      <w:pPr>
        <w:ind w:firstLine="480" w:firstLineChars="200"/>
        <w:jc w:val="left"/>
        <w:rPr>
          <w:rFonts w:hAnsi="宋体"/>
          <w:bCs/>
          <w:color w:val="auto"/>
          <w:sz w:val="24"/>
          <w:highlight w:val="none"/>
        </w:rPr>
      </w:pPr>
      <w:r>
        <w:rPr>
          <w:rFonts w:hAnsi="宋体"/>
          <w:bCs/>
          <w:color w:val="auto"/>
          <w:sz w:val="24"/>
          <w:highlight w:val="none"/>
        </w:rPr>
        <w:t>单项或者累计学分满</w:t>
      </w:r>
      <w:r>
        <w:rPr>
          <w:bCs/>
          <w:color w:val="auto"/>
          <w:sz w:val="24"/>
          <w:highlight w:val="none"/>
        </w:rPr>
        <w:t>2</w:t>
      </w:r>
      <w:r>
        <w:rPr>
          <w:rFonts w:hAnsi="宋体"/>
          <w:bCs/>
          <w:color w:val="auto"/>
          <w:sz w:val="24"/>
          <w:highlight w:val="none"/>
        </w:rPr>
        <w:t>学分者，计</w:t>
      </w:r>
      <w:r>
        <w:rPr>
          <w:bCs/>
          <w:color w:val="auto"/>
          <w:sz w:val="24"/>
          <w:highlight w:val="none"/>
        </w:rPr>
        <w:t>2</w:t>
      </w:r>
      <w:r>
        <w:rPr>
          <w:rFonts w:hAnsi="宋体"/>
          <w:bCs/>
          <w:color w:val="auto"/>
          <w:sz w:val="24"/>
          <w:highlight w:val="none"/>
        </w:rPr>
        <w:t>学分。</w:t>
      </w:r>
    </w:p>
    <w:p>
      <w:pPr>
        <w:widowControl/>
        <w:jc w:val="left"/>
        <w:rPr>
          <w:rFonts w:cs="黑体" w:asciiTheme="minorEastAsia" w:hAnsi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color w:val="auto"/>
          <w:kern w:val="0"/>
          <w:sz w:val="24"/>
          <w:szCs w:val="24"/>
          <w:highlight w:val="none"/>
        </w:rPr>
        <w:t xml:space="preserve">六、学制及修业年限   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（一）基本学制：4年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（二）修业年限：4～7年</w:t>
      </w:r>
    </w:p>
    <w:p>
      <w:pPr>
        <w:widowControl/>
        <w:ind w:firstLine="480" w:firstLineChars="200"/>
        <w:jc w:val="left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color w:val="auto"/>
          <w:kern w:val="0"/>
          <w:sz w:val="24"/>
          <w:szCs w:val="24"/>
          <w:highlight w:val="none"/>
        </w:rPr>
        <w:t>（三）各学年时间分配（表1）</w:t>
      </w:r>
    </w:p>
    <w:p>
      <w:pPr>
        <w:jc w:val="center"/>
        <w:rPr>
          <w:rFonts w:cs="仿宋" w:asciiTheme="minorEastAsia" w:hAnsiTheme="minorEastAsia"/>
          <w:bCs/>
          <w:color w:val="auto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bCs/>
          <w:color w:val="auto"/>
          <w:sz w:val="24"/>
          <w:szCs w:val="24"/>
          <w:highlight w:val="none"/>
        </w:rPr>
        <w:t>表</w:t>
      </w:r>
      <w:r>
        <w:rPr>
          <w:rFonts w:cs="仿宋" w:asciiTheme="minorEastAsia" w:hAnsiTheme="minorEastAsia"/>
          <w:bCs/>
          <w:color w:val="auto"/>
          <w:sz w:val="24"/>
          <w:szCs w:val="24"/>
          <w:highlight w:val="none"/>
        </w:rPr>
        <w:t>1</w:t>
      </w:r>
      <w:r>
        <w:rPr>
          <w:rFonts w:hint="eastAsia" w:cs="仿宋" w:asciiTheme="minorEastAsia" w:hAnsiTheme="minorEastAsia"/>
          <w:bCs/>
          <w:color w:val="auto"/>
          <w:sz w:val="24"/>
          <w:szCs w:val="24"/>
          <w:highlight w:val="none"/>
        </w:rPr>
        <w:t xml:space="preserve">  四年制健康服务与管理专业各学年时间分配表（单位：周）</w:t>
      </w:r>
    </w:p>
    <w:tbl>
      <w:tblPr>
        <w:tblStyle w:val="14"/>
        <w:tblW w:w="7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161"/>
        <w:gridCol w:w="1080"/>
        <w:gridCol w:w="1039"/>
        <w:gridCol w:w="977"/>
        <w:gridCol w:w="864"/>
        <w:gridCol w:w="996"/>
      </w:tblGrid>
      <w:tr>
        <w:trPr>
          <w:jc w:val="center"/>
        </w:trPr>
        <w:tc>
          <w:tcPr>
            <w:tcW w:w="10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学年</w:t>
            </w: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117" w:firstLineChars="49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教学</w:t>
            </w: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35" w:firstLineChars="98"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考试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毕业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实习</w:t>
            </w:r>
          </w:p>
        </w:tc>
        <w:tc>
          <w:tcPr>
            <w:tcW w:w="9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机动</w:t>
            </w:r>
          </w:p>
        </w:tc>
        <w:tc>
          <w:tcPr>
            <w:tcW w:w="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假期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一</w:t>
            </w:r>
          </w:p>
        </w:tc>
        <w:tc>
          <w:tcPr>
            <w:tcW w:w="1161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39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64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96" w:type="dxa"/>
            <w:tcBorders>
              <w:top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二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39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三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39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92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四</w:t>
            </w:r>
          </w:p>
        </w:tc>
        <w:tc>
          <w:tcPr>
            <w:tcW w:w="1161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33</w:t>
            </w:r>
          </w:p>
        </w:tc>
        <w:tc>
          <w:tcPr>
            <w:tcW w:w="977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161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95</w:t>
            </w:r>
          </w:p>
        </w:tc>
        <w:tc>
          <w:tcPr>
            <w:tcW w:w="1080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039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42</w:t>
            </w:r>
          </w:p>
        </w:tc>
        <w:tc>
          <w:tcPr>
            <w:tcW w:w="977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864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33</w:t>
            </w:r>
          </w:p>
        </w:tc>
        <w:tc>
          <w:tcPr>
            <w:tcW w:w="996" w:type="dxa"/>
            <w:tcBorders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cs="宋体" w:asciiTheme="minorEastAsia" w:hAnsiTheme="minorEastAsia"/>
                <w:color w:val="auto"/>
                <w:kern w:val="0"/>
                <w:sz w:val="24"/>
                <w:szCs w:val="24"/>
                <w:highlight w:val="none"/>
              </w:rPr>
              <w:t>198</w:t>
            </w:r>
          </w:p>
        </w:tc>
      </w:tr>
    </w:tbl>
    <w:p>
      <w:pPr>
        <w:pStyle w:val="11"/>
        <w:widowControl w:val="0"/>
        <w:spacing w:before="0" w:beforeAutospacing="0" w:after="0" w:afterAutospacing="0"/>
        <w:ind w:firstLine="420" w:firstLineChars="200"/>
        <w:rPr>
          <w:rStyle w:val="16"/>
          <w:rFonts w:asciiTheme="minorEastAsia" w:hAnsiTheme="minorEastAsia" w:eastAsiaTheme="minorEastAsia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※社会实践</w:t>
      </w:r>
      <w:r>
        <w:rPr>
          <w:rFonts w:cs="宋体"/>
          <w:color w:val="auto"/>
          <w:sz w:val="21"/>
          <w:szCs w:val="21"/>
          <w:highlight w:val="none"/>
        </w:rPr>
        <w:t>2</w:t>
      </w:r>
      <w:r>
        <w:rPr>
          <w:rFonts w:hint="eastAsia" w:cs="宋体"/>
          <w:color w:val="auto"/>
          <w:sz w:val="21"/>
          <w:szCs w:val="21"/>
          <w:highlight w:val="none"/>
        </w:rPr>
        <w:t>周，由校团委作统一部署，机动含军训、社会实践、毕业考试等其他环节。</w:t>
      </w:r>
    </w:p>
    <w:p>
      <w:pPr>
        <w:rPr>
          <w:rFonts w:cs="黑体" w:asciiTheme="minorEastAsia" w:hAnsiTheme="minorEastAsia"/>
          <w:color w:val="auto"/>
          <w:sz w:val="24"/>
          <w:szCs w:val="24"/>
          <w:highlight w:val="none"/>
        </w:rPr>
      </w:pPr>
    </w:p>
    <w:p>
      <w:pPr>
        <w:rPr>
          <w:rFonts w:cs="黑体" w:asciiTheme="minorEastAsia" w:hAnsiTheme="minorEastAsia"/>
          <w:b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color w:val="auto"/>
          <w:sz w:val="24"/>
          <w:szCs w:val="24"/>
          <w:highlight w:val="none"/>
        </w:rPr>
        <w:t>八、毕业与学位</w:t>
      </w:r>
    </w:p>
    <w:p>
      <w:pPr>
        <w:ind w:firstLine="480" w:firstLineChars="200"/>
        <w:rPr>
          <w:rFonts w:cs="Times New Roman" w:asciiTheme="minorEastAsia" w:hAnsiTheme="minorEastAsia"/>
          <w:bCs/>
          <w:color w:val="auto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bCs/>
          <w:color w:val="auto"/>
          <w:sz w:val="24"/>
          <w:szCs w:val="24"/>
          <w:highlight w:val="none"/>
        </w:rPr>
        <w:t>通过课程和毕业考试，成绩合格，修满规定的学分，符合《广西医科大学学生学籍管理规定》中的毕业条件的准予毕业，符合《广西医科大学授予学士学位工作细则》学士学位条件的授予管理学学士学位。</w:t>
      </w:r>
    </w:p>
    <w:p>
      <w:pPr>
        <w:pStyle w:val="11"/>
        <w:widowControl w:val="0"/>
        <w:spacing w:before="0" w:beforeAutospacing="0" w:after="0" w:afterAutospacing="0"/>
        <w:ind w:firstLine="480" w:firstLineChars="200"/>
        <w:rPr>
          <w:rFonts w:hint="eastAsia" w:asciiTheme="minorEastAsia" w:hAnsiTheme="minorEastAsia" w:eastAsiaTheme="minorEastAsia"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/>
          <w:bCs/>
          <w:color w:val="auto"/>
          <w:highlight w:val="none"/>
        </w:rPr>
        <w:t>在学校规定修业年限内修完全部必修课程，成绩合格，限选课程修满</w:t>
      </w:r>
      <w:r>
        <w:rPr>
          <w:rFonts w:asciiTheme="minorEastAsia" w:hAnsiTheme="minorEastAsia" w:eastAsiaTheme="minorEastAsia"/>
          <w:bCs/>
          <w:color w:val="auto"/>
          <w:highlight w:val="none"/>
        </w:rPr>
        <w:t>13</w:t>
      </w:r>
      <w:r>
        <w:rPr>
          <w:rFonts w:hint="eastAsia" w:asciiTheme="minorEastAsia" w:hAnsiTheme="minorEastAsia" w:eastAsiaTheme="minorEastAsia"/>
          <w:bCs/>
          <w:color w:val="auto"/>
          <w:highlight w:val="none"/>
        </w:rPr>
        <w:t>学分，任选课修满15学分，通过毕业实习</w:t>
      </w:r>
      <w:r>
        <w:rPr>
          <w:rFonts w:hint="eastAsia" w:asciiTheme="minorEastAsia" w:hAnsiTheme="minorEastAsia" w:eastAsiaTheme="minorEastAsia"/>
          <w:bCs/>
          <w:color w:val="auto"/>
          <w:highlight w:val="none"/>
          <w:lang w:eastAsia="zh-CN"/>
        </w:rPr>
        <w:t>，</w:t>
      </w:r>
      <w:r>
        <w:rPr>
          <w:rStyle w:val="16"/>
          <w:rFonts w:hint="eastAsia" w:cs="宋体"/>
          <w:b w:val="0"/>
          <w:highlight w:val="none"/>
        </w:rPr>
        <w:t>按照学校管理办法完成毕业论文（设计）并通过答辩</w:t>
      </w:r>
      <w:r>
        <w:rPr>
          <w:rFonts w:hint="eastAsia" w:asciiTheme="minorEastAsia" w:hAnsiTheme="minorEastAsia" w:eastAsiaTheme="minorEastAsia"/>
          <w:bCs/>
          <w:color w:val="auto"/>
          <w:highlight w:val="none"/>
        </w:rPr>
        <w:t>，总学分达</w:t>
      </w:r>
      <w:r>
        <w:rPr>
          <w:rFonts w:hint="eastAsia" w:asciiTheme="minorEastAsia" w:hAnsiTheme="minorEastAsia" w:eastAsiaTheme="minorEastAsia"/>
          <w:bCs/>
          <w:color w:val="auto"/>
          <w:highlight w:val="none"/>
          <w:lang w:val="en-US" w:eastAsia="zh-CN"/>
        </w:rPr>
        <w:t>160</w:t>
      </w:r>
      <w:r>
        <w:rPr>
          <w:rFonts w:hint="eastAsia" w:asciiTheme="minorEastAsia" w:hAnsiTheme="minorEastAsia" w:eastAsiaTheme="minorEastAsia"/>
          <w:bCs/>
          <w:color w:val="auto"/>
          <w:highlight w:val="none"/>
        </w:rPr>
        <w:t>学分以上，符合《广西医科大学学生学籍管理规定》中的毕业条件的准予毕业，符合《广西医科大学授予学士学位工作细则》学士学位条件的授予学士学位。</w:t>
      </w:r>
    </w:p>
    <w:p>
      <w:pPr>
        <w:rPr>
          <w:rFonts w:cs="黑体" w:asciiTheme="minorEastAsia" w:hAnsi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</w:rPr>
        <w:t>九、毕业去向</w:t>
      </w:r>
    </w:p>
    <w:p>
      <w:pPr>
        <w:ind w:firstLine="480" w:firstLineChars="200"/>
        <w:rPr>
          <w:rFonts w:cs="Times New Roman"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Times New Roman" w:asciiTheme="minorEastAsia" w:hAnsiTheme="minorEastAsia"/>
          <w:color w:val="auto"/>
          <w:sz w:val="24"/>
          <w:szCs w:val="24"/>
          <w:highlight w:val="none"/>
        </w:rPr>
        <w:t>就业方向：毕业生可在卫生医疗机构、健康管理机构、社区卫生服务机构、养老机构、保险机构等企事业单位从事健康检测与风险评估、健康干预与指导、健康教育、慢性病管理、健康信息管理等与健康事业相关的工作。</w:t>
      </w:r>
    </w:p>
    <w:p>
      <w:pPr>
        <w:numPr>
          <w:ilvl w:val="0"/>
          <w:numId w:val="1"/>
        </w:numP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</w:rPr>
        <w:t>教学进程</w:t>
      </w: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val="en-US" w:eastAsia="zh-CN"/>
        </w:rPr>
        <w:t>详见四年制健康服务与管理本科专业教学进程</w:t>
      </w: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val="en-US" w:eastAsia="zh-CN"/>
        </w:rPr>
        <w:t>课程体系对培养要求指标点支撑矩阵图</w:t>
      </w:r>
    </w:p>
    <w:tbl>
      <w:tblPr>
        <w:tblStyle w:val="14"/>
        <w:tblpPr w:leftFromText="180" w:rightFromText="180" w:vertAnchor="text" w:horzAnchor="page" w:tblpX="354" w:tblpY="997"/>
        <w:tblOverlap w:val="never"/>
        <w:tblW w:w="115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940"/>
        <w:gridCol w:w="939"/>
        <w:gridCol w:w="1143"/>
        <w:gridCol w:w="577"/>
        <w:gridCol w:w="577"/>
        <w:gridCol w:w="671"/>
        <w:gridCol w:w="538"/>
        <w:gridCol w:w="456"/>
        <w:gridCol w:w="456"/>
        <w:gridCol w:w="456"/>
        <w:gridCol w:w="456"/>
        <w:gridCol w:w="456"/>
        <w:gridCol w:w="456"/>
        <w:gridCol w:w="749"/>
        <w:gridCol w:w="456"/>
        <w:gridCol w:w="456"/>
        <w:gridCol w:w="456"/>
        <w:gridCol w:w="4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15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四年制健康服务与管理专业课程体系对培养要求指标点支撑矩阵图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8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课程模块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2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思想道德与职业素质目标</w:t>
            </w:r>
          </w:p>
        </w:tc>
        <w:tc>
          <w:tcPr>
            <w:tcW w:w="1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知识素质</w:t>
            </w:r>
          </w:p>
        </w:tc>
        <w:tc>
          <w:tcPr>
            <w:tcW w:w="1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人文素质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身心素质</w:t>
            </w:r>
          </w:p>
        </w:tc>
        <w:tc>
          <w:tcPr>
            <w:tcW w:w="1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教学方法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8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1.1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1.3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1.4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2.1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2.3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3.1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3.2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5.1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5.2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5.3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基础阶段课程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思德修养·人文素质·行为科学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英语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体育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创业基础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大学生职业发展与就业指导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马克思主义基本原理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大学生创新创业实践指导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社会学概论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信息检索与利用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基础医学概论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临床医学概论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专业课程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专业基础课程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公共管理学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政治学概论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M,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卫生法学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预防医学（含医学统计学包）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社会医学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卫生政策学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健康营养学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医院管理学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医学伦理学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专业核心课程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健康教育与促进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健康管理学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社区健康服务与管理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健康运动学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健康经济学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医学信息学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社会调查研究方法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健康保障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健康服务与管理技能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健康心理学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职业健康服务与管理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老年健康服务与管理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L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H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cs="黑体" w:asciiTheme="minorEastAsia" w:hAnsiTheme="minorEastAsia"/>
          <w:b/>
          <w:bCs/>
          <w:color w:val="auto"/>
          <w:sz w:val="24"/>
          <w:szCs w:val="24"/>
          <w:highlight w:val="none"/>
          <w:lang w:eastAsia="zh-CN"/>
        </w:rPr>
      </w:pPr>
    </w:p>
    <w:bookmarkEnd w:id="6"/>
    <w:sectPr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F586AE8-25AF-4FAE-9F8F-DA598E048C7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E4B346D-D317-4241-B651-7DED2A83AE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68ED6C2-0162-42C4-A7F3-78FEE31D660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1587B60-0EA5-4AFD-9CA2-FDD38BD7E87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573E0"/>
    <w:multiLevelType w:val="singleLevel"/>
    <w:tmpl w:val="554573E0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NzE0ZDQwNDUyMmVjZDBmYWJmOTZiMGIzNThkZDEifQ=="/>
  </w:docVars>
  <w:rsids>
    <w:rsidRoot w:val="00CF23DA"/>
    <w:rsid w:val="00027928"/>
    <w:rsid w:val="00060ECC"/>
    <w:rsid w:val="000675C8"/>
    <w:rsid w:val="00071ABE"/>
    <w:rsid w:val="000C700D"/>
    <w:rsid w:val="002441E8"/>
    <w:rsid w:val="0028101F"/>
    <w:rsid w:val="00386DF7"/>
    <w:rsid w:val="003946F1"/>
    <w:rsid w:val="00404081"/>
    <w:rsid w:val="0044128E"/>
    <w:rsid w:val="0045471C"/>
    <w:rsid w:val="00470BDA"/>
    <w:rsid w:val="004A7D72"/>
    <w:rsid w:val="004D14D4"/>
    <w:rsid w:val="005D2F01"/>
    <w:rsid w:val="00621A9D"/>
    <w:rsid w:val="0064304D"/>
    <w:rsid w:val="00646A97"/>
    <w:rsid w:val="006C66A0"/>
    <w:rsid w:val="006D03B4"/>
    <w:rsid w:val="00705762"/>
    <w:rsid w:val="0074352A"/>
    <w:rsid w:val="007D623C"/>
    <w:rsid w:val="00846DFE"/>
    <w:rsid w:val="00871960"/>
    <w:rsid w:val="008A10F2"/>
    <w:rsid w:val="008C51FE"/>
    <w:rsid w:val="008E212A"/>
    <w:rsid w:val="00933738"/>
    <w:rsid w:val="00941F71"/>
    <w:rsid w:val="00960384"/>
    <w:rsid w:val="00A00685"/>
    <w:rsid w:val="00A2007F"/>
    <w:rsid w:val="00B54405"/>
    <w:rsid w:val="00BB3B4A"/>
    <w:rsid w:val="00BF6031"/>
    <w:rsid w:val="00C01A14"/>
    <w:rsid w:val="00C13F2B"/>
    <w:rsid w:val="00C67414"/>
    <w:rsid w:val="00C95E22"/>
    <w:rsid w:val="00CA69B2"/>
    <w:rsid w:val="00CC35FE"/>
    <w:rsid w:val="00CF23DA"/>
    <w:rsid w:val="00D20021"/>
    <w:rsid w:val="00DB4395"/>
    <w:rsid w:val="00DC2282"/>
    <w:rsid w:val="00E1415D"/>
    <w:rsid w:val="00E169CB"/>
    <w:rsid w:val="00E22EF0"/>
    <w:rsid w:val="00E7644D"/>
    <w:rsid w:val="00E94376"/>
    <w:rsid w:val="00F23929"/>
    <w:rsid w:val="00F240E0"/>
    <w:rsid w:val="00FF15FC"/>
    <w:rsid w:val="01E40979"/>
    <w:rsid w:val="04473600"/>
    <w:rsid w:val="051A3667"/>
    <w:rsid w:val="067D312D"/>
    <w:rsid w:val="06F02F2E"/>
    <w:rsid w:val="09626B10"/>
    <w:rsid w:val="0A175C8A"/>
    <w:rsid w:val="0E4F3D47"/>
    <w:rsid w:val="12652CD7"/>
    <w:rsid w:val="1AE027CB"/>
    <w:rsid w:val="1C000809"/>
    <w:rsid w:val="1FB44FA6"/>
    <w:rsid w:val="212D4117"/>
    <w:rsid w:val="21A53B05"/>
    <w:rsid w:val="294A3878"/>
    <w:rsid w:val="2BD720BE"/>
    <w:rsid w:val="3040484B"/>
    <w:rsid w:val="38884C79"/>
    <w:rsid w:val="3CC4011F"/>
    <w:rsid w:val="3E2913AE"/>
    <w:rsid w:val="3F7F7FEF"/>
    <w:rsid w:val="40DE37D3"/>
    <w:rsid w:val="42177690"/>
    <w:rsid w:val="42B3038F"/>
    <w:rsid w:val="44903BD6"/>
    <w:rsid w:val="459C621B"/>
    <w:rsid w:val="46572CEA"/>
    <w:rsid w:val="477172E5"/>
    <w:rsid w:val="4A562BA5"/>
    <w:rsid w:val="4CE22AB5"/>
    <w:rsid w:val="4EBB21ED"/>
    <w:rsid w:val="4EFC1A5E"/>
    <w:rsid w:val="50A131E3"/>
    <w:rsid w:val="5E261162"/>
    <w:rsid w:val="635D1D1E"/>
    <w:rsid w:val="666130C7"/>
    <w:rsid w:val="672D1EC1"/>
    <w:rsid w:val="688C0E6A"/>
    <w:rsid w:val="70217A7B"/>
    <w:rsid w:val="702A63DB"/>
    <w:rsid w:val="72785979"/>
    <w:rsid w:val="72942F06"/>
    <w:rsid w:val="73385887"/>
    <w:rsid w:val="7707348F"/>
    <w:rsid w:val="7800743F"/>
    <w:rsid w:val="781E583B"/>
    <w:rsid w:val="7864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0"/>
    <w:pPr>
      <w:keepNext/>
      <w:keepLines/>
      <w:adjustRightInd w:val="0"/>
      <w:spacing w:before="60" w:after="60" w:line="300" w:lineRule="auto"/>
      <w:ind w:firstLine="454"/>
      <w:textAlignment w:val="baseline"/>
      <w:outlineLvl w:val="2"/>
    </w:pPr>
    <w:rPr>
      <w:rFonts w:ascii="Times New Roman" w:hAnsi="Times New Roman" w:eastAsia="楷体_GB2312" w:cs="Times New Roman"/>
      <w:b/>
      <w:kern w:val="0"/>
      <w:sz w:val="24"/>
      <w:szCs w:val="20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unhideWhenUsed/>
    <w:qFormat/>
    <w:uiPriority w:val="0"/>
    <w:pPr>
      <w:jc w:val="left"/>
    </w:pPr>
    <w:rPr>
      <w:rFonts w:ascii="Times New Roman" w:hAnsi="Times New Roman" w:eastAsia="宋体" w:cs="Times New Roman"/>
      <w:szCs w:val="20"/>
      <w:lang w:val="zh-CN"/>
    </w:rPr>
  </w:style>
  <w:style w:type="paragraph" w:styleId="4">
    <w:name w:val="Body Text"/>
    <w:basedOn w:val="1"/>
    <w:link w:val="27"/>
    <w:unhideWhenUsed/>
    <w:qFormat/>
    <w:uiPriority w:val="0"/>
    <w:pPr>
      <w:spacing w:after="120"/>
    </w:pPr>
    <w:rPr>
      <w:rFonts w:ascii="Times New Roman" w:hAnsi="Times New Roman" w:eastAsia="宋体" w:cs="Times New Roman"/>
      <w:szCs w:val="20"/>
      <w:lang w:val="zh-CN"/>
    </w:rPr>
  </w:style>
  <w:style w:type="paragraph" w:styleId="5">
    <w:name w:val="Plain Text"/>
    <w:basedOn w:val="1"/>
    <w:link w:val="30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link w:val="32"/>
    <w:qFormat/>
    <w:uiPriority w:val="0"/>
    <w:pPr>
      <w:ind w:left="100" w:leftChars="2500"/>
    </w:pPr>
    <w:rPr>
      <w:rFonts w:ascii="Times New Roman" w:hAnsi="Times New Roman" w:eastAsia="宋体" w:cs="Times New Roman"/>
      <w:szCs w:val="24"/>
      <w:lang w:val="zh-CN"/>
    </w:rPr>
  </w:style>
  <w:style w:type="paragraph" w:styleId="7">
    <w:name w:val="Body Text Indent 2"/>
    <w:basedOn w:val="1"/>
    <w:link w:val="33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8">
    <w:name w:val="Balloon Text"/>
    <w:basedOn w:val="1"/>
    <w:link w:val="35"/>
    <w:qFormat/>
    <w:uiPriority w:val="0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12">
    <w:name w:val="annotation subject"/>
    <w:basedOn w:val="3"/>
    <w:next w:val="3"/>
    <w:link w:val="25"/>
    <w:unhideWhenUsed/>
    <w:qFormat/>
    <w:uiPriority w:val="0"/>
    <w:rPr>
      <w:rFonts w:eastAsia="方正仿宋_GBK" w:asciiTheme="minorHAnsi" w:hAnsiTheme="minorHAnsi" w:cstheme="minorBidi"/>
      <w:b/>
      <w:bCs/>
      <w:sz w:val="32"/>
      <w:szCs w:val="32"/>
      <w:lang w:val="en-US"/>
    </w:rPr>
  </w:style>
  <w:style w:type="paragraph" w:styleId="13">
    <w:name w:val="Body Text First Indent"/>
    <w:basedOn w:val="4"/>
    <w:link w:val="28"/>
    <w:qFormat/>
    <w:uiPriority w:val="0"/>
    <w:pPr>
      <w:ind w:firstLine="420" w:firstLineChars="100"/>
    </w:pPr>
    <w:rPr>
      <w:rFonts w:asciiTheme="minorHAnsi" w:hAnsiTheme="minorHAnsi" w:eastAsiaTheme="minorEastAsia" w:cstheme="minorBidi"/>
      <w:szCs w:val="24"/>
      <w:lang w:val="en-US"/>
    </w:rPr>
  </w:style>
  <w:style w:type="character" w:styleId="16">
    <w:name w:val="Strong"/>
    <w:qFormat/>
    <w:uiPriority w:val="99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FollowedHyperlink"/>
    <w:qFormat/>
    <w:uiPriority w:val="99"/>
    <w:rPr>
      <w:color w:val="800080"/>
      <w:u w:val="single"/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styleId="20">
    <w:name w:val="annotation reference"/>
    <w:unhideWhenUsed/>
    <w:qFormat/>
    <w:uiPriority w:val="0"/>
    <w:rPr>
      <w:sz w:val="21"/>
      <w:szCs w:val="21"/>
    </w:rPr>
  </w:style>
  <w:style w:type="character" w:customStyle="1" w:styleId="21">
    <w:name w:val="页眉 字符"/>
    <w:basedOn w:val="15"/>
    <w:link w:val="10"/>
    <w:qFormat/>
    <w:uiPriority w:val="0"/>
    <w:rPr>
      <w:sz w:val="18"/>
      <w:szCs w:val="18"/>
    </w:rPr>
  </w:style>
  <w:style w:type="character" w:customStyle="1" w:styleId="22">
    <w:name w:val="页脚 字符"/>
    <w:basedOn w:val="15"/>
    <w:link w:val="9"/>
    <w:qFormat/>
    <w:uiPriority w:val="0"/>
    <w:rPr>
      <w:sz w:val="18"/>
      <w:szCs w:val="18"/>
    </w:rPr>
  </w:style>
  <w:style w:type="character" w:customStyle="1" w:styleId="23">
    <w:name w:val="标题 3 字符"/>
    <w:basedOn w:val="15"/>
    <w:link w:val="2"/>
    <w:qFormat/>
    <w:uiPriority w:val="0"/>
    <w:rPr>
      <w:rFonts w:ascii="Times New Roman" w:hAnsi="Times New Roman" w:eastAsia="楷体_GB2312" w:cs="Times New Roman"/>
      <w:b/>
      <w:kern w:val="0"/>
      <w:sz w:val="24"/>
      <w:szCs w:val="20"/>
    </w:rPr>
  </w:style>
  <w:style w:type="character" w:customStyle="1" w:styleId="24">
    <w:name w:val="批注文字 字符"/>
    <w:basedOn w:val="15"/>
    <w:link w:val="3"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25">
    <w:name w:val="批注主题 字符"/>
    <w:link w:val="12"/>
    <w:qFormat/>
    <w:uiPriority w:val="0"/>
    <w:rPr>
      <w:rFonts w:eastAsia="方正仿宋_GBK"/>
      <w:b/>
      <w:bCs/>
      <w:sz w:val="32"/>
      <w:szCs w:val="32"/>
    </w:rPr>
  </w:style>
  <w:style w:type="character" w:customStyle="1" w:styleId="26">
    <w:name w:val="批注主题 Char1"/>
    <w:basedOn w:val="24"/>
    <w:semiHidden/>
    <w:qFormat/>
    <w:uiPriority w:val="99"/>
    <w:rPr>
      <w:rFonts w:ascii="Times New Roman" w:hAnsi="Times New Roman" w:eastAsia="宋体" w:cs="Times New Roman"/>
      <w:b/>
      <w:bCs/>
      <w:szCs w:val="20"/>
      <w:lang w:val="zh-CN" w:eastAsia="zh-CN"/>
    </w:rPr>
  </w:style>
  <w:style w:type="character" w:customStyle="1" w:styleId="27">
    <w:name w:val="正文文本 字符"/>
    <w:basedOn w:val="15"/>
    <w:link w:val="4"/>
    <w:qFormat/>
    <w:uiPriority w:val="0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28">
    <w:name w:val="正文文本首行缩进 字符"/>
    <w:link w:val="13"/>
    <w:qFormat/>
    <w:uiPriority w:val="0"/>
    <w:rPr>
      <w:szCs w:val="24"/>
    </w:rPr>
  </w:style>
  <w:style w:type="character" w:customStyle="1" w:styleId="29">
    <w:name w:val="正文首行缩进 Char1"/>
    <w:basedOn w:val="27"/>
    <w:semiHidden/>
    <w:qFormat/>
    <w:uiPriority w:val="99"/>
    <w:rPr>
      <w:rFonts w:ascii="Times New Roman" w:hAnsi="Times New Roman" w:eastAsia="宋体" w:cs="Times New Roman"/>
      <w:szCs w:val="20"/>
      <w:lang w:val="zh-CN" w:eastAsia="zh-CN"/>
    </w:rPr>
  </w:style>
  <w:style w:type="character" w:customStyle="1" w:styleId="30">
    <w:name w:val="纯文本 字符"/>
    <w:link w:val="5"/>
    <w:qFormat/>
    <w:uiPriority w:val="0"/>
    <w:rPr>
      <w:rFonts w:ascii="宋体" w:hAnsi="Courier New"/>
      <w:szCs w:val="21"/>
    </w:rPr>
  </w:style>
  <w:style w:type="character" w:customStyle="1" w:styleId="31">
    <w:name w:val="纯文本 Char1"/>
    <w:basedOn w:val="1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32">
    <w:name w:val="日期 字符"/>
    <w:basedOn w:val="15"/>
    <w:link w:val="6"/>
    <w:qFormat/>
    <w:uiPriority w:val="0"/>
    <w:rPr>
      <w:rFonts w:ascii="Times New Roman" w:hAnsi="Times New Roman" w:eastAsia="宋体" w:cs="Times New Roman"/>
      <w:szCs w:val="24"/>
      <w:lang w:val="zh-CN" w:eastAsia="zh-CN"/>
    </w:rPr>
  </w:style>
  <w:style w:type="character" w:customStyle="1" w:styleId="33">
    <w:name w:val="正文文本缩进 2 字符"/>
    <w:link w:val="7"/>
    <w:qFormat/>
    <w:uiPriority w:val="0"/>
    <w:rPr>
      <w:szCs w:val="24"/>
    </w:rPr>
  </w:style>
  <w:style w:type="character" w:customStyle="1" w:styleId="34">
    <w:name w:val="正文文本缩进 2 Char1"/>
    <w:basedOn w:val="15"/>
    <w:semiHidden/>
    <w:qFormat/>
    <w:uiPriority w:val="99"/>
  </w:style>
  <w:style w:type="character" w:customStyle="1" w:styleId="35">
    <w:name w:val="批注框文本 字符"/>
    <w:link w:val="8"/>
    <w:qFormat/>
    <w:uiPriority w:val="0"/>
    <w:rPr>
      <w:sz w:val="18"/>
      <w:szCs w:val="18"/>
    </w:rPr>
  </w:style>
  <w:style w:type="character" w:customStyle="1" w:styleId="36">
    <w:name w:val="批注框文本 Char1"/>
    <w:basedOn w:val="15"/>
    <w:semiHidden/>
    <w:qFormat/>
    <w:uiPriority w:val="99"/>
    <w:rPr>
      <w:sz w:val="18"/>
      <w:szCs w:val="18"/>
    </w:rPr>
  </w:style>
  <w:style w:type="paragraph" w:customStyle="1" w:styleId="3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8">
    <w:name w:val="列出段落1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  <w:style w:type="paragraph" w:customStyle="1" w:styleId="39">
    <w:name w:val="修订1"/>
    <w:semiHidden/>
    <w:qFormat/>
    <w:uiPriority w:val="0"/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paragraph" w:customStyle="1" w:styleId="4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1">
    <w:name w:val="xl12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2">
    <w:name w:val="xl1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43">
    <w:name w:val="xl1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4">
    <w:name w:val="xl1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5">
    <w:name w:val="xl12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46">
    <w:name w:val="xl12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7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48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49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0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eastAsia="宋体" w:cs="宋体"/>
      <w:kern w:val="0"/>
      <w:sz w:val="16"/>
      <w:szCs w:val="16"/>
    </w:rPr>
  </w:style>
  <w:style w:type="paragraph" w:customStyle="1" w:styleId="51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2">
    <w:name w:val="xl1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3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4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5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6">
    <w:name w:val="xl13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7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58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59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0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1">
    <w:name w:val="xl14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2">
    <w:name w:val="xl14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3">
    <w:name w:val="xl14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4">
    <w:name w:val="xl14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65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6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67">
    <w:name w:val="xl15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68">
    <w:name w:val="xl1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9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0">
    <w:name w:val="xl15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1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2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3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4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5">
    <w:name w:val="xl15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6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7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kern w:val="0"/>
      <w:sz w:val="16"/>
      <w:szCs w:val="16"/>
    </w:rPr>
  </w:style>
  <w:style w:type="paragraph" w:customStyle="1" w:styleId="78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79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  <w:style w:type="paragraph" w:customStyle="1" w:styleId="80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6"/>
      <w:szCs w:val="16"/>
    </w:rPr>
  </w:style>
  <w:style w:type="paragraph" w:customStyle="1" w:styleId="81">
    <w:name w:val="xl16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3074</Words>
  <Characters>3197</Characters>
  <Lines>17</Lines>
  <Paragraphs>4</Paragraphs>
  <TotalTime>1</TotalTime>
  <ScaleCrop>false</ScaleCrop>
  <LinksUpToDate>false</LinksUpToDate>
  <CharactersWithSpaces>3208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2018-12-20T01:06:00Z</dcterms:created>
  <dc:creator>DELL</dc:creator>
  <cp:lastModifiedBy>毛星宁</cp:lastModifiedBy>
  <dcterms:modified xsi:type="dcterms:W3CDTF">2023-06-27T03:00:19Z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E54E6F4A37A0473F8B992C1837FEC85C</vt:lpwstr>
  </property>
</Properties>
</file>