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spacing w:line="276" w:lineRule="auto"/>
        <w:jc w:val="center"/>
        <w:textAlignment w:val="auto"/>
        <w:rPr>
          <w:rFonts w:cs="Tahoma"/>
        </w:rPr>
      </w:pPr>
      <w:r>
        <w:rPr>
          <w:rFonts w:hint="eastAsia" w:cs="黑体"/>
        </w:rPr>
        <w:t>五年制法医学专业人才培养方案</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一、培养</w:t>
      </w:r>
      <w:r>
        <w:rPr>
          <w:rStyle w:val="12"/>
          <w:rFonts w:hint="eastAsia" w:ascii="Times New Roman" w:hAnsi="Times New Roman" w:cs="Times New Roman"/>
          <w:color w:val="auto"/>
          <w:kern w:val="0"/>
        </w:rPr>
        <w:t>目标</w:t>
      </w:r>
    </w:p>
    <w:p>
      <w:pPr>
        <w:pageBreakBefore w:val="0"/>
        <w:kinsoku/>
        <w:wordWrap/>
        <w:overflowPunct/>
        <w:topLinePunct w:val="0"/>
        <w:autoSpaceDE/>
        <w:autoSpaceDN/>
        <w:bidi w:val="0"/>
        <w:spacing w:after="0" w:line="276"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本专业培养具备良好的思想品德和职业道德、具备较强的法治意识、具备医学基本理论知识和系统的法医学理论及基本技能、具备创新精神和创业意识、具备投身实践创新创业能力</w:t>
      </w:r>
      <w:r>
        <w:rPr>
          <w:rFonts w:hint="eastAsia" w:ascii="宋体" w:hAnsi="宋体" w:eastAsia="宋体" w:cs="宋体"/>
          <w:sz w:val="24"/>
          <w:szCs w:val="24"/>
          <w:lang w:eastAsia="zh-CN"/>
        </w:rPr>
        <w:t>、</w:t>
      </w:r>
      <w:r>
        <w:rPr>
          <w:rFonts w:hint="eastAsia" w:ascii="宋体" w:hAnsi="宋体" w:eastAsia="宋体" w:cs="宋体"/>
          <w:sz w:val="24"/>
          <w:szCs w:val="24"/>
        </w:rPr>
        <w:t>德智体美劳全面发展，毕业后在上级法医的指导下，能够从事法医鉴定、科研、教学及相关工作的、特色鲜明的复合型法医学人才</w:t>
      </w:r>
      <w:r>
        <w:rPr>
          <w:rFonts w:hint="eastAsia" w:ascii="宋体" w:hAnsi="宋体" w:eastAsia="宋体" w:cs="宋体"/>
          <w:sz w:val="24"/>
          <w:szCs w:val="24"/>
          <w:lang w:eastAsia="zh-CN"/>
        </w:rPr>
        <w:t>。</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w:t>
      </w:r>
      <w:r>
        <w:rPr>
          <w:rStyle w:val="12"/>
          <w:rFonts w:hint="eastAsia" w:ascii="Times New Roman" w:hAnsi="Times New Roman" w:cs="Times New Roman"/>
          <w:color w:val="auto"/>
          <w:kern w:val="0"/>
        </w:rPr>
        <w:t>培养</w:t>
      </w:r>
      <w:r>
        <w:rPr>
          <w:rFonts w:hint="eastAsia" w:ascii="宋体" w:hAnsi="宋体" w:eastAsia="宋体" w:cs="宋体"/>
          <w:b/>
          <w:bCs/>
          <w:sz w:val="24"/>
          <w:szCs w:val="24"/>
        </w:rPr>
        <w:t>要求</w:t>
      </w:r>
    </w:p>
    <w:p>
      <w:pPr>
        <w:pageBreakBefore w:val="0"/>
        <w:kinsoku/>
        <w:wordWrap/>
        <w:overflowPunct/>
        <w:topLinePunct w:val="0"/>
        <w:autoSpaceDE/>
        <w:autoSpaceDN/>
        <w:bidi w:val="0"/>
        <w:spacing w:after="0" w:line="276"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（一）思想道德与职业素质目标</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树立科学的世界观、人生观和价值观，具有爱国主义和集体主义精神，愿为法医学科学事业发展贡献力量。</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熟悉与法医学有关的我国的各项法律以及法医工作的政策和规程。</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树立依法检案的观念、树立证据意识，学会用法律保护受害人和自身的权益。</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意识到检案工作中细致案情调查的重要性，并积极收集多方面资料，调查取证，使检案工作客观公正。</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树立成本效益观念，充分掌握公平有效分配和合理使用有限资源的原则，取得最佳的工作效益。</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树立终身学习观念，充分认识到不断自我完善和接受继续教育的重要性。</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树立正确的医学伦理观念，尊重个人信仰，尊重每一个人，理解其人文背景及文化价值。</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具有实事求是的科学态度，对超出自己的业务能力而不能有效安全完成的案件，主动寻求其他法医师的帮助。</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始终将维护法治和社会稳定，打击犯罪作为自己的职业责任。</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具有创新精神和敢于怀疑、敢于分析批判的精神，具有为新知识的发现、新技能的产生做出贡献的意识。</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尊重同仁，增强团队意识。</w:t>
      </w:r>
    </w:p>
    <w:p>
      <w:pPr>
        <w:pageBreakBefore w:val="0"/>
        <w:numPr>
          <w:ilvl w:val="0"/>
          <w:numId w:val="1"/>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了解法医学的应用前景及发展动态。</w:t>
      </w:r>
    </w:p>
    <w:p>
      <w:pPr>
        <w:pageBreakBefore w:val="0"/>
        <w:kinsoku/>
        <w:wordWrap/>
        <w:overflowPunct/>
        <w:topLinePunct w:val="0"/>
        <w:autoSpaceDE/>
        <w:autoSpaceDN/>
        <w:bidi w:val="0"/>
        <w:spacing w:after="0" w:line="276"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（二）知识</w:t>
      </w:r>
      <w:r>
        <w:rPr>
          <w:rFonts w:hint="eastAsia" w:ascii="宋体" w:hAnsi="宋体" w:eastAsia="宋体" w:cs="宋体"/>
          <w:b/>
          <w:bCs/>
          <w:sz w:val="24"/>
          <w:szCs w:val="24"/>
          <w:lang w:eastAsia="zh-CN"/>
        </w:rPr>
        <w:t>目标</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基本掌握生物科学、行为科学、人文科学和社会科学的有关知识和方法，并能够用于指导未来的学习和法医学实践。</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掌握生命各阶段人体的正常结构、功能和心理状态。</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掌握人体各阶段各种常见病、多发病</w:t>
      </w:r>
      <w:r>
        <w:rPr>
          <w:rFonts w:ascii="宋体" w:hAnsi="宋体" w:eastAsia="宋体" w:cs="宋体"/>
          <w:sz w:val="24"/>
          <w:szCs w:val="24"/>
        </w:rPr>
        <w:t>(</w:t>
      </w:r>
      <w:r>
        <w:rPr>
          <w:rFonts w:hint="eastAsia" w:ascii="宋体" w:hAnsi="宋体" w:eastAsia="宋体" w:cs="宋体"/>
          <w:sz w:val="24"/>
          <w:szCs w:val="24"/>
        </w:rPr>
        <w:t>包括精神疾病</w:t>
      </w:r>
      <w:r>
        <w:rPr>
          <w:rFonts w:ascii="宋体" w:hAnsi="宋体" w:eastAsia="宋体" w:cs="宋体"/>
          <w:sz w:val="24"/>
          <w:szCs w:val="24"/>
        </w:rPr>
        <w:t>)</w:t>
      </w:r>
      <w:r>
        <w:rPr>
          <w:rFonts w:hint="eastAsia" w:ascii="宋体" w:hAnsi="宋体" w:eastAsia="宋体" w:cs="宋体"/>
          <w:sz w:val="24"/>
          <w:szCs w:val="24"/>
        </w:rPr>
        <w:t>的发病原因，认识环境因素、社会因素及行为心理因素对疾病形成与发展的影响，认识预防疾病的重要性。</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了解流行病学的有关知识与方法。</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了解常见传染病的发生、发展、传播的基本规律和防治原则。</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掌握现场勘察、取证的原则和基本知识。</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掌握死亡原因、方式、死亡时间推断及损伤与疾病的关系等法医学基本知识。</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掌握常见毒物的中毒机制、病理变化的基本知识。</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掌握法医物证鉴定的基本理论和方法。</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掌握活体损伤检验与法医学鉴定的基本原则和方法。</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掌握常见毒物定性、定量分析的基本知识和方法。</w:t>
      </w:r>
    </w:p>
    <w:p>
      <w:pPr>
        <w:pageBreakBefore w:val="0"/>
        <w:numPr>
          <w:ilvl w:val="0"/>
          <w:numId w:val="2"/>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掌握法医学检案中自我保护原则。</w:t>
      </w:r>
    </w:p>
    <w:p>
      <w:pPr>
        <w:pageBreakBefore w:val="0"/>
        <w:kinsoku/>
        <w:wordWrap/>
        <w:overflowPunct/>
        <w:topLinePunct w:val="0"/>
        <w:autoSpaceDE/>
        <w:autoSpaceDN/>
        <w:bidi w:val="0"/>
        <w:spacing w:after="0" w:line="276"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（三）技能</w:t>
      </w:r>
      <w:r>
        <w:rPr>
          <w:rFonts w:hint="eastAsia" w:ascii="宋体" w:hAnsi="宋体" w:eastAsia="宋体" w:cs="宋体"/>
          <w:b/>
          <w:bCs/>
          <w:sz w:val="24"/>
          <w:szCs w:val="24"/>
          <w:lang w:eastAsia="zh-CN"/>
        </w:rPr>
        <w:t>目标</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具有正确受理案件及规范书写法医学鉴定书的能力。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具备系统尸体解剖、常规物证检验、活体损伤检验的基本能力。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初步具备处理突发公共灾害事件的基本能力。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具有法医现场勘察及运用辩证思维分析处理案件的能力。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具备一定的社会工作能力、组织协调能力和人际交流能力。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具有利用各种信息资源和技术进行自主学习与科学研究的能力。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具有与同仁、被鉴定人及其家属进行有效交流和调动其合作的能力。</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结合实际工作，能够独立利用图书资料和现代信息技术研究法医学问题及获取新知识与相关信息，能用一门外语阅读法医学文献</w:t>
      </w:r>
    </w:p>
    <w:p>
      <w:pPr>
        <w:pageBreakBefore w:val="0"/>
        <w:numPr>
          <w:ilvl w:val="0"/>
          <w:numId w:val="3"/>
        </w:numPr>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rPr>
        <w:t>具有自主学习和终身学习的能力。</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三、主干</w:t>
      </w:r>
      <w:r>
        <w:rPr>
          <w:rStyle w:val="12"/>
          <w:rFonts w:hint="eastAsia" w:ascii="Times New Roman" w:hAnsi="Times New Roman" w:cs="Times New Roman"/>
          <w:color w:val="auto"/>
          <w:kern w:val="0"/>
        </w:rPr>
        <w:t>学科</w:t>
      </w:r>
      <w:r>
        <w:rPr>
          <w:rFonts w:hint="eastAsia" w:ascii="宋体" w:hAnsi="宋体" w:eastAsia="宋体" w:cs="宋体"/>
          <w:b/>
          <w:bCs/>
          <w:sz w:val="24"/>
          <w:szCs w:val="24"/>
        </w:rPr>
        <w:t>和主要课程</w:t>
      </w:r>
    </w:p>
    <w:p>
      <w:pPr>
        <w:pageBreakBefore w:val="0"/>
        <w:kinsoku/>
        <w:wordWrap/>
        <w:overflowPunct/>
        <w:topLinePunct w:val="0"/>
        <w:autoSpaceDE/>
        <w:autoSpaceDN/>
        <w:bidi w:val="0"/>
        <w:spacing w:after="0" w:line="276"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（一）主干学科：</w:t>
      </w:r>
      <w:r>
        <w:rPr>
          <w:rFonts w:hint="eastAsia" w:ascii="宋体" w:hAnsi="宋体" w:eastAsia="宋体" w:cs="宋体"/>
          <w:sz w:val="24"/>
          <w:szCs w:val="24"/>
          <w:lang w:val="en-US" w:eastAsia="zh-CN"/>
        </w:rPr>
        <w:t>自然科学、人文社会科学、生物医学、</w:t>
      </w:r>
      <w:r>
        <w:rPr>
          <w:rFonts w:hint="eastAsia" w:ascii="宋体" w:hAnsi="宋体" w:eastAsia="宋体" w:cs="宋体"/>
          <w:sz w:val="24"/>
          <w:szCs w:val="24"/>
        </w:rPr>
        <w:t>临床医学、法医学。</w:t>
      </w:r>
      <w:r>
        <w:rPr>
          <w:rFonts w:ascii="宋体" w:hAnsi="宋体" w:eastAsia="宋体" w:cs="宋体"/>
          <w:sz w:val="24"/>
          <w:szCs w:val="24"/>
        </w:rPr>
        <w:t xml:space="preserve"> </w:t>
      </w:r>
    </w:p>
    <w:p>
      <w:pPr>
        <w:pageBreakBefore w:val="0"/>
        <w:kinsoku/>
        <w:wordWrap/>
        <w:overflowPunct/>
        <w:topLinePunct w:val="0"/>
        <w:autoSpaceDE/>
        <w:autoSpaceDN/>
        <w:bidi w:val="0"/>
        <w:spacing w:after="0" w:line="276" w:lineRule="auto"/>
        <w:ind w:left="604" w:leftChars="220" w:hanging="120" w:hangingChars="50"/>
        <w:textAlignment w:val="auto"/>
        <w:rPr>
          <w:rFonts w:hint="eastAsia" w:ascii="宋体" w:hAnsi="宋体" w:eastAsia="宋体" w:cs="宋体"/>
          <w:sz w:val="24"/>
          <w:szCs w:val="24"/>
        </w:rPr>
      </w:pPr>
      <w:r>
        <w:rPr>
          <w:rFonts w:hint="eastAsia" w:ascii="宋体" w:hAnsi="宋体" w:eastAsia="宋体" w:cs="宋体"/>
          <w:sz w:val="24"/>
          <w:szCs w:val="24"/>
        </w:rPr>
        <w:t>（二）主要课程：思想政治理论课、英语、计算机应用基础、基础化学、</w:t>
      </w:r>
    </w:p>
    <w:p>
      <w:pPr>
        <w:pageBreakBefore w:val="0"/>
        <w:kinsoku/>
        <w:wordWrap/>
        <w:overflowPunct/>
        <w:topLinePunct w:val="0"/>
        <w:autoSpaceDE/>
        <w:autoSpaceDN/>
        <w:bidi w:val="0"/>
        <w:spacing w:after="0" w:line="276"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有机</w:t>
      </w:r>
      <w:r>
        <w:rPr>
          <w:rFonts w:hint="eastAsia" w:ascii="宋体" w:hAnsi="宋体" w:eastAsia="宋体" w:cs="宋体"/>
          <w:sz w:val="24"/>
          <w:szCs w:val="24"/>
        </w:rPr>
        <w:t>化学、系统解剖学、医学伦理学、组织学与胚胎学、生物化学、生理学、医学免疫学、医学微生物学、病理学、药理学、病理生理学、</w:t>
      </w:r>
      <w:r>
        <w:rPr>
          <w:rFonts w:hint="eastAsia" w:ascii="宋体" w:hAnsi="宋体" w:eastAsia="宋体" w:cs="宋体"/>
          <w:sz w:val="24"/>
          <w:szCs w:val="24"/>
          <w:highlight w:val="none"/>
          <w:lang w:eastAsia="zh-CN"/>
        </w:rPr>
        <w:t>机能实验学</w:t>
      </w:r>
      <w:r>
        <w:rPr>
          <w:rFonts w:hint="eastAsia" w:ascii="宋体" w:hAnsi="宋体" w:eastAsia="宋体" w:cs="宋体"/>
          <w:sz w:val="24"/>
          <w:szCs w:val="24"/>
        </w:rPr>
        <w:t>、预防医学、医患沟通学、医学心理学、诊断学、神经病学、</w:t>
      </w:r>
      <w:r>
        <w:rPr>
          <w:rFonts w:hint="eastAsia" w:ascii="宋体" w:hAnsi="宋体" w:eastAsia="宋体" w:cs="宋体"/>
          <w:sz w:val="24"/>
          <w:szCs w:val="24"/>
          <w:lang w:eastAsia="zh-CN"/>
        </w:rPr>
        <w:t>精神病学、眼科学、耳鼻喉科学、影像学、</w:t>
      </w:r>
      <w:r>
        <w:rPr>
          <w:rFonts w:hint="eastAsia" w:ascii="宋体" w:hAnsi="宋体" w:eastAsia="宋体" w:cs="宋体"/>
          <w:sz w:val="24"/>
          <w:szCs w:val="24"/>
        </w:rPr>
        <w:t>内科学、外科学、妇产科学、儿科学、法医病理学、法医物证学、法医临床学、法医毒物学</w:t>
      </w:r>
      <w:r>
        <w:rPr>
          <w:rFonts w:hint="eastAsia" w:ascii="宋体" w:hAnsi="宋体" w:eastAsia="宋体" w:cs="宋体"/>
          <w:sz w:val="24"/>
          <w:szCs w:val="24"/>
          <w:lang w:eastAsia="zh-CN"/>
        </w:rPr>
        <w:t>、法医毒物分析、法医精神病学等</w:t>
      </w:r>
      <w:r>
        <w:rPr>
          <w:rFonts w:hint="eastAsia" w:ascii="宋体" w:hAnsi="宋体" w:eastAsia="宋体" w:cs="宋体"/>
          <w:sz w:val="24"/>
          <w:szCs w:val="24"/>
        </w:rPr>
        <w:t>。</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四、主要实践教学环节</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（一）军事训练</w:t>
      </w:r>
      <w:r>
        <w:rPr>
          <w:rFonts w:ascii="宋体" w:hAnsi="宋体" w:eastAsia="宋体" w:cs="宋体"/>
          <w:sz w:val="24"/>
          <w:szCs w:val="24"/>
        </w:rPr>
        <w:t>2</w:t>
      </w:r>
      <w:r>
        <w:rPr>
          <w:rFonts w:hint="eastAsia" w:ascii="宋体" w:hAnsi="宋体" w:eastAsia="宋体" w:cs="宋体"/>
          <w:sz w:val="24"/>
          <w:szCs w:val="24"/>
        </w:rPr>
        <w:t>周，计</w:t>
      </w:r>
      <w:r>
        <w:rPr>
          <w:rFonts w:ascii="宋体" w:hAnsi="宋体" w:eastAsia="宋体" w:cs="宋体"/>
          <w:sz w:val="24"/>
          <w:szCs w:val="24"/>
        </w:rPr>
        <w:t>2</w:t>
      </w:r>
      <w:r>
        <w:rPr>
          <w:rFonts w:hint="eastAsia" w:ascii="宋体" w:hAnsi="宋体" w:eastAsia="宋体" w:cs="宋体"/>
          <w:sz w:val="24"/>
          <w:szCs w:val="24"/>
        </w:rPr>
        <w:t>学分。</w:t>
      </w:r>
    </w:p>
    <w:p>
      <w:pPr>
        <w:pageBreakBefore w:val="0"/>
        <w:kinsoku/>
        <w:wordWrap/>
        <w:overflowPunct/>
        <w:topLinePunct w:val="0"/>
        <w:autoSpaceDE/>
        <w:autoSpaceDN/>
        <w:bidi w:val="0"/>
        <w:spacing w:after="0" w:line="276" w:lineRule="auto"/>
        <w:ind w:left="604" w:leftChars="220" w:hanging="120" w:hangingChars="50"/>
        <w:textAlignment w:val="auto"/>
        <w:rPr>
          <w:rFonts w:hint="eastAsia" w:ascii="宋体" w:hAnsi="宋体" w:eastAsia="宋体" w:cs="宋体"/>
          <w:sz w:val="24"/>
          <w:szCs w:val="24"/>
        </w:rPr>
      </w:pPr>
      <w:r>
        <w:rPr>
          <w:rFonts w:hint="eastAsia" w:ascii="宋体" w:hAnsi="宋体" w:eastAsia="宋体" w:cs="宋体"/>
          <w:sz w:val="24"/>
          <w:szCs w:val="24"/>
        </w:rPr>
        <w:t>（二）法医学综合技能培训</w:t>
      </w:r>
      <w:r>
        <w:rPr>
          <w:rFonts w:hint="eastAsia" w:ascii="宋体" w:hAnsi="宋体" w:eastAsia="宋体" w:cs="宋体"/>
          <w:sz w:val="24"/>
          <w:szCs w:val="24"/>
          <w:lang w:eastAsia="zh-CN"/>
        </w:rPr>
        <w:t>，</w:t>
      </w:r>
      <w:r>
        <w:rPr>
          <w:rFonts w:hint="eastAsia" w:ascii="宋体" w:hAnsi="宋体" w:eastAsia="宋体" w:cs="宋体"/>
          <w:sz w:val="24"/>
          <w:szCs w:val="24"/>
        </w:rPr>
        <w:t>机动，安排在第</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学期</w:t>
      </w:r>
      <w:r>
        <w:rPr>
          <w:rFonts w:ascii="宋体" w:hAnsi="宋体" w:eastAsia="宋体" w:cs="宋体"/>
          <w:sz w:val="24"/>
          <w:szCs w:val="24"/>
        </w:rPr>
        <w:t>72</w:t>
      </w:r>
      <w:r>
        <w:rPr>
          <w:rFonts w:hint="eastAsia" w:ascii="宋体" w:hAnsi="宋体" w:eastAsia="宋体" w:cs="宋体"/>
          <w:sz w:val="24"/>
          <w:szCs w:val="24"/>
        </w:rPr>
        <w:t>学时，计</w:t>
      </w:r>
      <w:r>
        <w:rPr>
          <w:rFonts w:ascii="宋体" w:hAnsi="宋体" w:eastAsia="宋体" w:cs="宋体"/>
          <w:sz w:val="24"/>
          <w:szCs w:val="24"/>
        </w:rPr>
        <w:t>2.5</w:t>
      </w:r>
      <w:r>
        <w:rPr>
          <w:rFonts w:hint="eastAsia" w:ascii="宋体" w:hAnsi="宋体" w:eastAsia="宋体" w:cs="宋体"/>
          <w:sz w:val="24"/>
          <w:szCs w:val="24"/>
        </w:rPr>
        <w:t>学分。</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（三）社会实践</w:t>
      </w:r>
      <w:r>
        <w:rPr>
          <w:rFonts w:ascii="宋体" w:hAnsi="宋体" w:eastAsia="宋体" w:cs="宋体"/>
          <w:sz w:val="24"/>
          <w:szCs w:val="24"/>
        </w:rPr>
        <w:t>2</w:t>
      </w:r>
      <w:r>
        <w:rPr>
          <w:rFonts w:hint="eastAsia" w:ascii="宋体" w:hAnsi="宋体" w:eastAsia="宋体" w:cs="宋体"/>
          <w:sz w:val="24"/>
          <w:szCs w:val="24"/>
        </w:rPr>
        <w:t>周，安排在假期，计</w:t>
      </w:r>
      <w:r>
        <w:rPr>
          <w:rFonts w:ascii="宋体" w:hAnsi="宋体" w:eastAsia="宋体" w:cs="宋体"/>
          <w:sz w:val="24"/>
          <w:szCs w:val="24"/>
        </w:rPr>
        <w:t>2</w:t>
      </w:r>
      <w:r>
        <w:rPr>
          <w:rFonts w:hint="eastAsia" w:ascii="宋体" w:hAnsi="宋体" w:eastAsia="宋体" w:cs="宋体"/>
          <w:sz w:val="24"/>
          <w:szCs w:val="24"/>
        </w:rPr>
        <w:t>学分。</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（四）毕业实习</w:t>
      </w:r>
      <w:r>
        <w:rPr>
          <w:rFonts w:ascii="宋体" w:hAnsi="宋体" w:eastAsia="宋体" w:cs="宋体"/>
          <w:sz w:val="24"/>
          <w:szCs w:val="24"/>
        </w:rPr>
        <w:t>48</w:t>
      </w:r>
      <w:r>
        <w:rPr>
          <w:rFonts w:hint="eastAsia" w:ascii="宋体" w:hAnsi="宋体" w:eastAsia="宋体" w:cs="宋体"/>
          <w:sz w:val="24"/>
          <w:szCs w:val="24"/>
        </w:rPr>
        <w:t>周，安排在第</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ascii="宋体" w:hAnsi="宋体" w:eastAsia="宋体" w:cs="宋体"/>
          <w:sz w:val="24"/>
          <w:szCs w:val="24"/>
        </w:rPr>
        <w:t>10</w:t>
      </w:r>
      <w:r>
        <w:rPr>
          <w:rFonts w:hint="eastAsia" w:ascii="宋体" w:hAnsi="宋体" w:eastAsia="宋体" w:cs="宋体"/>
          <w:sz w:val="24"/>
          <w:szCs w:val="24"/>
        </w:rPr>
        <w:t>学期，计</w:t>
      </w:r>
      <w:r>
        <w:rPr>
          <w:rFonts w:ascii="宋体" w:hAnsi="宋体" w:eastAsia="宋体" w:cs="宋体"/>
          <w:sz w:val="24"/>
          <w:szCs w:val="24"/>
        </w:rPr>
        <w:t>48</w:t>
      </w:r>
      <w:r>
        <w:rPr>
          <w:rFonts w:hint="eastAsia" w:ascii="宋体" w:hAnsi="宋体" w:eastAsia="宋体" w:cs="宋体"/>
          <w:sz w:val="24"/>
          <w:szCs w:val="24"/>
        </w:rPr>
        <w:t>学分。</w:t>
      </w:r>
    </w:p>
    <w:p>
      <w:pPr>
        <w:pStyle w:val="8"/>
        <w:pageBreakBefore w:val="0"/>
        <w:kinsoku/>
        <w:wordWrap/>
        <w:overflowPunct/>
        <w:topLinePunct w:val="0"/>
        <w:autoSpaceDE/>
        <w:autoSpaceDN/>
        <w:bidi w:val="0"/>
        <w:spacing w:before="0" w:beforeAutospacing="0" w:after="0" w:afterAutospacing="0" w:line="276" w:lineRule="auto"/>
        <w:ind w:left="604" w:leftChars="220" w:hanging="120" w:hangingChars="50"/>
        <w:textAlignment w:val="auto"/>
        <w:rPr>
          <w:rFonts w:hint="eastAsia" w:cs="宋体"/>
        </w:rPr>
      </w:pPr>
      <w:r>
        <w:rPr>
          <w:rFonts w:hint="eastAsia"/>
        </w:rPr>
        <w:t>（五）创新创业素质拓展，</w:t>
      </w:r>
      <w:r>
        <w:t>3</w:t>
      </w:r>
      <w:r>
        <w:rPr>
          <w:rFonts w:hint="eastAsia"/>
        </w:rPr>
        <w:t>学分。</w:t>
      </w:r>
    </w:p>
    <w:p>
      <w:pPr>
        <w:pStyle w:val="8"/>
        <w:pageBreakBefore w:val="0"/>
        <w:kinsoku/>
        <w:wordWrap/>
        <w:overflowPunct/>
        <w:topLinePunct w:val="0"/>
        <w:autoSpaceDE/>
        <w:autoSpaceDN/>
        <w:bidi w:val="0"/>
        <w:spacing w:before="0" w:beforeAutospacing="0" w:after="0" w:afterAutospacing="0" w:line="276" w:lineRule="auto"/>
        <w:ind w:firstLine="480" w:firstLineChars="200"/>
        <w:textAlignment w:val="auto"/>
        <w:rPr>
          <w:rFonts w:hint="eastAsia" w:cs="宋体"/>
        </w:rPr>
      </w:pPr>
      <w:r>
        <w:t>1.</w:t>
      </w:r>
      <w:r>
        <w:rPr>
          <w:rFonts w:hint="eastAsia"/>
        </w:rPr>
        <w:t>主持并完成“大学生创新创业训练计划项目”或“未来学术之星”等科研项目的，每项</w:t>
      </w:r>
      <w:r>
        <w:t>3</w:t>
      </w:r>
      <w:r>
        <w:rPr>
          <w:rFonts w:hint="eastAsia"/>
        </w:rPr>
        <w:t>学分；参与以上项目的，每项</w:t>
      </w:r>
      <w:r>
        <w:t>1.5</w:t>
      </w:r>
      <w:r>
        <w:rPr>
          <w:rFonts w:hint="eastAsia"/>
        </w:rPr>
        <w:t>学分；</w:t>
      </w:r>
    </w:p>
    <w:p>
      <w:pPr>
        <w:pStyle w:val="8"/>
        <w:pageBreakBefore w:val="0"/>
        <w:kinsoku/>
        <w:wordWrap/>
        <w:overflowPunct/>
        <w:topLinePunct w:val="0"/>
        <w:autoSpaceDE/>
        <w:autoSpaceDN/>
        <w:bidi w:val="0"/>
        <w:spacing w:before="0" w:beforeAutospacing="0" w:after="0" w:afterAutospacing="0" w:line="276" w:lineRule="auto"/>
        <w:ind w:firstLine="480" w:firstLineChars="200"/>
        <w:textAlignment w:val="auto"/>
        <w:rPr>
          <w:rFonts w:hint="eastAsia" w:cs="宋体"/>
        </w:rPr>
      </w:pPr>
      <w:r>
        <w:t>2.</w:t>
      </w:r>
      <w:r>
        <w:rPr>
          <w:rFonts w:hint="eastAsia"/>
        </w:rPr>
        <w:t>主持“互联网</w:t>
      </w:r>
      <w:r>
        <w:t>+</w:t>
      </w:r>
      <w:r>
        <w:rPr>
          <w:rFonts w:hint="eastAsia"/>
        </w:rPr>
        <w:t>”大学生创新创业大赛项目，报名成功并进入校级比赛的，每项</w:t>
      </w:r>
      <w:r>
        <w:t>3</w:t>
      </w:r>
      <w:r>
        <w:rPr>
          <w:rFonts w:hint="eastAsia"/>
        </w:rPr>
        <w:t>学分；参与该项目的，每项</w:t>
      </w:r>
      <w:r>
        <w:t>1.5</w:t>
      </w:r>
      <w:r>
        <w:rPr>
          <w:rFonts w:hint="eastAsia"/>
        </w:rPr>
        <w:t>学分；</w:t>
      </w:r>
    </w:p>
    <w:p>
      <w:pPr>
        <w:pStyle w:val="8"/>
        <w:pageBreakBefore w:val="0"/>
        <w:kinsoku/>
        <w:wordWrap/>
        <w:overflowPunct/>
        <w:topLinePunct w:val="0"/>
        <w:autoSpaceDE/>
        <w:autoSpaceDN/>
        <w:bidi w:val="0"/>
        <w:spacing w:before="0" w:beforeAutospacing="0" w:after="0" w:afterAutospacing="0" w:line="276" w:lineRule="auto"/>
        <w:ind w:firstLine="480" w:firstLineChars="200"/>
        <w:textAlignment w:val="auto"/>
        <w:rPr>
          <w:rFonts w:hint="eastAsia" w:cs="宋体"/>
        </w:rPr>
      </w:pPr>
      <w:r>
        <w:t>3.</w:t>
      </w:r>
      <w:r>
        <w:rPr>
          <w:rFonts w:hint="eastAsia"/>
        </w:rPr>
        <w:t>符合《广西医科大学本科生课外素质教育奖励学分实施管理办法（</w:t>
      </w:r>
      <w:r>
        <w:t>2017</w:t>
      </w:r>
      <w:r>
        <w:rPr>
          <w:rFonts w:hint="eastAsia"/>
        </w:rPr>
        <w:t>年</w:t>
      </w:r>
      <w:r>
        <w:t>9</w:t>
      </w:r>
      <w:r>
        <w:rPr>
          <w:rFonts w:hint="eastAsia"/>
        </w:rPr>
        <w:t>月修订）》（桂医大教〔</w:t>
      </w:r>
      <w:r>
        <w:t>2017</w:t>
      </w:r>
      <w:r>
        <w:rPr>
          <w:rFonts w:hint="eastAsia"/>
        </w:rPr>
        <w:t>〕</w:t>
      </w:r>
      <w:r>
        <w:t>69</w:t>
      </w:r>
      <w:r>
        <w:rPr>
          <w:rFonts w:hint="eastAsia"/>
        </w:rPr>
        <w:t>号）文件中学分奖励条件，获得的奖励学分可作为创新创业素质拓展学分（文件中第三类别：创新创业训练奖励学分除外）。</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五、课程设置</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（一）必修课程</w:t>
      </w:r>
      <w:r>
        <w:rPr>
          <w:rFonts w:hint="eastAsia" w:ascii="宋体" w:hAnsi="宋体" w:eastAsia="宋体" w:cs="宋体"/>
          <w:sz w:val="24"/>
          <w:szCs w:val="24"/>
          <w:lang w:eastAsia="zh-CN"/>
        </w:rPr>
        <w:t>：</w:t>
      </w:r>
      <w:r>
        <w:rPr>
          <w:rFonts w:hint="eastAsia" w:ascii="宋体" w:hAnsi="宋体" w:eastAsia="宋体" w:cs="宋体"/>
          <w:sz w:val="24"/>
          <w:szCs w:val="24"/>
        </w:rPr>
        <w:t>共</w:t>
      </w:r>
      <w:r>
        <w:rPr>
          <w:rFonts w:hint="eastAsia" w:ascii="宋体" w:hAnsi="宋体" w:eastAsia="宋体" w:cs="宋体"/>
          <w:sz w:val="24"/>
          <w:szCs w:val="24"/>
          <w:lang w:val="en-US" w:eastAsia="zh-CN"/>
        </w:rPr>
        <w:t>54</w:t>
      </w:r>
      <w:r>
        <w:rPr>
          <w:rFonts w:hint="eastAsia" w:ascii="宋体" w:hAnsi="宋体" w:eastAsia="宋体" w:cs="宋体"/>
          <w:sz w:val="24"/>
          <w:szCs w:val="24"/>
        </w:rPr>
        <w:t>门、</w:t>
      </w:r>
      <w:r>
        <w:rPr>
          <w:rFonts w:hint="eastAsia" w:ascii="宋体" w:hAnsi="宋体" w:eastAsia="宋体" w:cs="宋体"/>
          <w:sz w:val="24"/>
          <w:szCs w:val="24"/>
          <w:lang w:val="en-US" w:eastAsia="zh-CN"/>
        </w:rPr>
        <w:t>3158</w:t>
      </w:r>
      <w:r>
        <w:rPr>
          <w:rFonts w:hint="eastAsia" w:ascii="宋体" w:hAnsi="宋体" w:eastAsia="宋体" w:cs="宋体"/>
          <w:sz w:val="24"/>
          <w:szCs w:val="24"/>
        </w:rPr>
        <w:t>学时、</w:t>
      </w:r>
      <w:r>
        <w:rPr>
          <w:rFonts w:hint="eastAsia" w:ascii="宋体" w:hAnsi="宋体" w:eastAsia="宋体" w:cs="宋体"/>
          <w:sz w:val="24"/>
          <w:szCs w:val="24"/>
          <w:lang w:val="en-US" w:eastAsia="zh-CN"/>
        </w:rPr>
        <w:t>161.5</w:t>
      </w:r>
      <w:r>
        <w:rPr>
          <w:rFonts w:hint="eastAsia" w:ascii="宋体" w:hAnsi="宋体" w:eastAsia="宋体" w:cs="宋体"/>
          <w:sz w:val="24"/>
          <w:szCs w:val="24"/>
        </w:rPr>
        <w:t>学分，详见教学进程表</w:t>
      </w:r>
      <w:r>
        <w:rPr>
          <w:rFonts w:hint="eastAsia" w:ascii="宋体" w:hAnsi="宋体" w:eastAsia="宋体" w:cs="宋体"/>
          <w:sz w:val="24"/>
          <w:szCs w:val="24"/>
          <w:lang w:eastAsia="zh-CN"/>
        </w:rPr>
        <w:t>。</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（二）限选课程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共</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0</w:t>
      </w:r>
      <w:r>
        <w:rPr>
          <w:rFonts w:hint="eastAsia" w:ascii="宋体" w:hAnsi="宋体" w:eastAsia="宋体" w:cs="宋体"/>
          <w:sz w:val="24"/>
          <w:szCs w:val="24"/>
          <w:lang w:eastAsia="zh-CN"/>
        </w:rPr>
        <w:t>门，最低选修</w:t>
      </w:r>
      <w:r>
        <w:rPr>
          <w:rFonts w:hint="eastAsia" w:ascii="宋体" w:hAnsi="宋体" w:eastAsia="宋体" w:cs="宋体"/>
          <w:sz w:val="24"/>
          <w:szCs w:val="24"/>
          <w:lang w:val="en-US" w:eastAsia="zh-CN"/>
        </w:rPr>
        <w:t>15.5</w:t>
      </w:r>
      <w:r>
        <w:rPr>
          <w:rFonts w:hint="eastAsia" w:ascii="宋体" w:hAnsi="宋体" w:eastAsia="宋体" w:cs="宋体"/>
          <w:sz w:val="24"/>
          <w:szCs w:val="24"/>
        </w:rPr>
        <w:t>学分</w:t>
      </w:r>
      <w:r>
        <w:rPr>
          <w:rFonts w:hint="eastAsia" w:ascii="宋体" w:hAnsi="宋体" w:eastAsia="宋体" w:cs="宋体"/>
          <w:sz w:val="24"/>
          <w:szCs w:val="24"/>
          <w:lang w:eastAsia="zh-CN"/>
        </w:rPr>
        <w:t>。</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（三）任选课程</w:t>
      </w:r>
      <w:r>
        <w:rPr>
          <w:rFonts w:hint="eastAsia" w:ascii="宋体" w:hAnsi="宋体" w:eastAsia="宋体" w:cs="宋体"/>
          <w:sz w:val="24"/>
          <w:szCs w:val="24"/>
          <w:lang w:eastAsia="zh-CN"/>
        </w:rPr>
        <w:t>：</w:t>
      </w:r>
      <w:r>
        <w:rPr>
          <w:rFonts w:ascii="宋体" w:hAnsi="宋体" w:eastAsia="宋体" w:cs="宋体"/>
          <w:sz w:val="24"/>
          <w:szCs w:val="24"/>
        </w:rPr>
        <w:t>20</w:t>
      </w:r>
      <w:r>
        <w:rPr>
          <w:rFonts w:hint="eastAsia" w:ascii="宋体" w:hAnsi="宋体" w:eastAsia="宋体" w:cs="宋体"/>
          <w:sz w:val="24"/>
          <w:szCs w:val="24"/>
        </w:rPr>
        <w:t>学分</w:t>
      </w:r>
      <w:r>
        <w:rPr>
          <w:rFonts w:hint="eastAsia" w:ascii="宋体" w:hAnsi="宋体" w:eastAsia="宋体" w:cs="宋体"/>
          <w:sz w:val="24"/>
          <w:szCs w:val="24"/>
          <w:lang w:eastAsia="zh-CN"/>
        </w:rPr>
        <w:t>。</w:t>
      </w:r>
    </w:p>
    <w:p>
      <w:pPr>
        <w:pStyle w:val="8"/>
        <w:pageBreakBefore w:val="0"/>
        <w:kinsoku/>
        <w:wordWrap/>
        <w:overflowPunct/>
        <w:topLinePunct w:val="0"/>
        <w:autoSpaceDE/>
        <w:autoSpaceDN/>
        <w:bidi w:val="0"/>
        <w:spacing w:before="0" w:beforeAutospacing="0" w:after="0" w:afterAutospacing="0" w:line="276" w:lineRule="auto"/>
        <w:ind w:firstLine="480" w:firstLineChars="200"/>
        <w:textAlignment w:val="auto"/>
        <w:rPr>
          <w:rFonts w:hint="eastAsia"/>
        </w:rPr>
      </w:pPr>
      <w:r>
        <w:rPr>
          <w:rFonts w:hint="eastAsia"/>
        </w:rPr>
        <w:t>公共艺术类课程须修读2学分</w:t>
      </w:r>
      <w:r>
        <w:rPr>
          <w:rFonts w:hint="eastAsia"/>
          <w:lang w:val="en-US" w:eastAsia="zh-CN"/>
        </w:rPr>
        <w:t>及</w:t>
      </w:r>
      <w:r>
        <w:rPr>
          <w:rFonts w:hint="eastAsia"/>
        </w:rPr>
        <w:t>以上。参加《普通话》任选课学习并通过考试或自行参加普通话水平测试分数达二级乙等（80分）及以上，可计1学分；根据《广西医科大学本科生课外素质教育奖励学分管理办法》，奖励学分可作为任选课学分记载，但不得超过任选课学分的50%。</w:t>
      </w:r>
    </w:p>
    <w:p>
      <w:pPr>
        <w:pageBreakBefore w:val="0"/>
        <w:numPr>
          <w:ilvl w:val="0"/>
          <w:numId w:val="4"/>
        </w:numPr>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毕业实习（</w:t>
      </w:r>
      <w:r>
        <w:rPr>
          <w:rFonts w:hint="eastAsia" w:ascii="宋体" w:hAnsi="宋体" w:eastAsia="宋体" w:cs="宋体"/>
          <w:sz w:val="24"/>
          <w:szCs w:val="24"/>
          <w:lang w:val="en-US" w:eastAsia="zh-CN"/>
        </w:rPr>
        <w:t>52</w:t>
      </w:r>
      <w:r>
        <w:rPr>
          <w:rFonts w:hint="eastAsia" w:ascii="宋体" w:hAnsi="宋体" w:eastAsia="宋体" w:cs="宋体"/>
          <w:sz w:val="24"/>
          <w:szCs w:val="24"/>
        </w:rPr>
        <w:t>周，</w:t>
      </w:r>
      <w:r>
        <w:rPr>
          <w:rFonts w:ascii="宋体" w:hAnsi="宋体" w:eastAsia="宋体" w:cs="宋体"/>
          <w:sz w:val="24"/>
          <w:szCs w:val="24"/>
        </w:rPr>
        <w:t>48</w:t>
      </w:r>
      <w:r>
        <w:rPr>
          <w:rFonts w:hint="eastAsia" w:ascii="宋体" w:hAnsi="宋体" w:eastAsia="宋体" w:cs="宋体"/>
          <w:sz w:val="24"/>
          <w:szCs w:val="24"/>
        </w:rPr>
        <w:t>学分）</w:t>
      </w:r>
    </w:p>
    <w:p>
      <w:pPr>
        <w:pageBreakBefore w:val="0"/>
        <w:kinsoku/>
        <w:wordWrap/>
        <w:overflowPunct/>
        <w:topLinePunct w:val="0"/>
        <w:autoSpaceDE/>
        <w:autoSpaceDN/>
        <w:bidi w:val="0"/>
        <w:spacing w:after="0" w:line="276"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lang w:eastAsia="zh-CN"/>
        </w:rPr>
        <w:t>毕业实习分临床实习</w:t>
      </w:r>
      <w:r>
        <w:rPr>
          <w:rFonts w:hint="eastAsia" w:ascii="宋体" w:hAnsi="宋体" w:eastAsia="宋体" w:cs="宋体"/>
          <w:sz w:val="24"/>
          <w:szCs w:val="24"/>
          <w:lang w:val="en-US" w:eastAsia="zh-CN"/>
        </w:rPr>
        <w:t>9门，26学分</w:t>
      </w:r>
      <w:r>
        <w:rPr>
          <w:rFonts w:hint="eastAsia" w:ascii="宋体" w:hAnsi="宋体" w:eastAsia="宋体" w:cs="宋体"/>
          <w:sz w:val="24"/>
          <w:szCs w:val="24"/>
          <w:lang w:eastAsia="zh-CN"/>
        </w:rPr>
        <w:t>和法医实习</w:t>
      </w:r>
      <w:r>
        <w:rPr>
          <w:rFonts w:hint="eastAsia" w:ascii="宋体" w:hAnsi="宋体" w:eastAsia="宋体" w:cs="宋体"/>
          <w:sz w:val="24"/>
          <w:szCs w:val="24"/>
          <w:lang w:val="en-US" w:eastAsia="zh-CN"/>
        </w:rPr>
        <w:t>7门，22学分，详见表1、表2</w:t>
      </w:r>
      <w:r>
        <w:rPr>
          <w:rFonts w:hint="eastAsia" w:ascii="宋体" w:hAnsi="宋体" w:eastAsia="宋体" w:cs="宋体"/>
          <w:sz w:val="24"/>
          <w:szCs w:val="24"/>
          <w:lang w:eastAsia="zh-CN"/>
        </w:rPr>
        <w:t>。</w:t>
      </w:r>
    </w:p>
    <w:p>
      <w:pPr>
        <w:pStyle w:val="8"/>
        <w:pageBreakBefore w:val="0"/>
        <w:kinsoku/>
        <w:wordWrap/>
        <w:overflowPunct/>
        <w:topLinePunct w:val="0"/>
        <w:autoSpaceDE/>
        <w:autoSpaceDN/>
        <w:bidi w:val="0"/>
        <w:spacing w:before="0" w:beforeAutospacing="0" w:after="0" w:afterAutospacing="0" w:line="276" w:lineRule="auto"/>
        <w:ind w:firstLine="480" w:firstLineChars="200"/>
        <w:jc w:val="center"/>
        <w:textAlignment w:val="auto"/>
        <w:rPr>
          <w:rStyle w:val="12"/>
          <w:b w:val="0"/>
        </w:rPr>
      </w:pPr>
      <w:r>
        <w:rPr>
          <w:rStyle w:val="12"/>
          <w:rFonts w:hint="eastAsia"/>
          <w:b w:val="0"/>
          <w:lang w:eastAsia="zh-CN"/>
        </w:rPr>
        <w:t>表</w:t>
      </w:r>
      <w:r>
        <w:rPr>
          <w:rStyle w:val="12"/>
          <w:b w:val="0"/>
        </w:rPr>
        <w:t>1</w:t>
      </w:r>
      <w:r>
        <w:rPr>
          <w:rStyle w:val="12"/>
          <w:rFonts w:hint="eastAsia"/>
          <w:b w:val="0"/>
          <w:lang w:val="en-US" w:eastAsia="zh-CN"/>
        </w:rPr>
        <w:t>.</w:t>
      </w:r>
      <w:r>
        <w:rPr>
          <w:rStyle w:val="12"/>
          <w:rFonts w:hint="eastAsia"/>
          <w:b w:val="0"/>
          <w:lang w:eastAsia="zh-CN"/>
        </w:rPr>
        <w:t>临床</w:t>
      </w:r>
      <w:r>
        <w:rPr>
          <w:rStyle w:val="12"/>
          <w:rFonts w:hint="eastAsia"/>
          <w:b w:val="0"/>
        </w:rPr>
        <w:t>实习科目（共</w:t>
      </w:r>
      <w:r>
        <w:rPr>
          <w:rStyle w:val="12"/>
          <w:b w:val="0"/>
        </w:rPr>
        <w:t>9</w:t>
      </w:r>
      <w:r>
        <w:rPr>
          <w:rStyle w:val="12"/>
          <w:rFonts w:hint="eastAsia"/>
          <w:b w:val="0"/>
        </w:rPr>
        <w:t>门，</w:t>
      </w:r>
      <w:r>
        <w:rPr>
          <w:rStyle w:val="12"/>
          <w:rFonts w:hint="eastAsia"/>
          <w:b w:val="0"/>
          <w:lang w:val="en-US" w:eastAsia="zh-CN"/>
        </w:rPr>
        <w:t>26</w:t>
      </w:r>
      <w:r>
        <w:rPr>
          <w:rStyle w:val="12"/>
          <w:rFonts w:hint="eastAsia"/>
          <w:b w:val="0"/>
        </w:rPr>
        <w:t>周，</w:t>
      </w:r>
      <w:r>
        <w:rPr>
          <w:rStyle w:val="12"/>
          <w:rFonts w:hint="eastAsia"/>
          <w:b w:val="0"/>
          <w:lang w:val="en-US" w:eastAsia="zh-CN"/>
        </w:rPr>
        <w:t>26</w:t>
      </w:r>
      <w:r>
        <w:rPr>
          <w:rStyle w:val="12"/>
          <w:rFonts w:hint="eastAsia"/>
          <w:b w:val="0"/>
        </w:rPr>
        <w:t>学分）</w:t>
      </w:r>
    </w:p>
    <w:tbl>
      <w:tblPr>
        <w:tblStyle w:val="10"/>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804"/>
        <w:gridCol w:w="2456"/>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jc w:val="center"/>
        </w:trPr>
        <w:tc>
          <w:tcPr>
            <w:tcW w:w="1809" w:type="dxa"/>
            <w:tcBorders>
              <w:top w:val="single" w:color="auto" w:sz="4" w:space="0"/>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lang w:val="en-US" w:eastAsia="zh-CN"/>
              </w:rPr>
              <w:t>科目</w:t>
            </w:r>
            <w:r>
              <w:rPr>
                <w:rStyle w:val="12"/>
                <w:rFonts w:hint="eastAsia" w:ascii="宋体" w:hAnsi="宋体" w:eastAsia="宋体" w:cs="宋体"/>
                <w:b w:val="0"/>
                <w:sz w:val="24"/>
                <w:szCs w:val="24"/>
              </w:rPr>
              <w:t>名称</w:t>
            </w:r>
          </w:p>
        </w:tc>
        <w:tc>
          <w:tcPr>
            <w:tcW w:w="851"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周</w:t>
            </w:r>
          </w:p>
        </w:tc>
        <w:tc>
          <w:tcPr>
            <w:tcW w:w="992" w:type="dxa"/>
            <w:tcBorders>
              <w:top w:val="single" w:color="auto" w:sz="4" w:space="0"/>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学分</w:t>
            </w:r>
          </w:p>
        </w:tc>
        <w:tc>
          <w:tcPr>
            <w:tcW w:w="804"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lang w:val="en-US" w:eastAsia="zh-CN"/>
              </w:rPr>
              <w:t>科目</w:t>
            </w:r>
            <w:r>
              <w:rPr>
                <w:rStyle w:val="12"/>
                <w:rFonts w:hint="eastAsia" w:ascii="宋体" w:hAnsi="宋体" w:eastAsia="宋体" w:cs="宋体"/>
                <w:b w:val="0"/>
                <w:sz w:val="24"/>
                <w:szCs w:val="24"/>
              </w:rPr>
              <w:t>名称</w:t>
            </w:r>
          </w:p>
        </w:tc>
        <w:tc>
          <w:tcPr>
            <w:tcW w:w="851"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周</w:t>
            </w:r>
          </w:p>
        </w:tc>
        <w:tc>
          <w:tcPr>
            <w:tcW w:w="850"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内科</w:t>
            </w:r>
          </w:p>
        </w:tc>
        <w:tc>
          <w:tcPr>
            <w:tcW w:w="851"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val="en-US" w:eastAsia="zh-CN"/>
              </w:rPr>
              <w:t>6</w:t>
            </w:r>
          </w:p>
        </w:tc>
        <w:tc>
          <w:tcPr>
            <w:tcW w:w="992"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val="en-US" w:eastAsia="zh-CN"/>
              </w:rPr>
              <w:t>6</w:t>
            </w:r>
          </w:p>
        </w:tc>
        <w:tc>
          <w:tcPr>
            <w:tcW w:w="804"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外科</w:t>
            </w:r>
          </w:p>
        </w:tc>
        <w:tc>
          <w:tcPr>
            <w:tcW w:w="851"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7</w:t>
            </w:r>
          </w:p>
        </w:tc>
        <w:tc>
          <w:tcPr>
            <w:tcW w:w="850"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妇产科</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val="en-US" w:eastAsia="zh-CN"/>
              </w:rPr>
              <w:t>2</w:t>
            </w:r>
          </w:p>
        </w:tc>
        <w:tc>
          <w:tcPr>
            <w:tcW w:w="992"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val="en-US" w:eastAsia="zh-CN"/>
              </w:rPr>
              <w:t>2</w:t>
            </w:r>
          </w:p>
        </w:tc>
        <w:tc>
          <w:tcPr>
            <w:tcW w:w="804"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儿科</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c>
          <w:tcPr>
            <w:tcW w:w="850"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急诊科</w:t>
            </w:r>
          </w:p>
        </w:tc>
        <w:tc>
          <w:tcPr>
            <w:tcW w:w="851" w:type="dxa"/>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2</w:t>
            </w:r>
          </w:p>
        </w:tc>
        <w:tc>
          <w:tcPr>
            <w:tcW w:w="992" w:type="dxa"/>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2</w:t>
            </w:r>
          </w:p>
        </w:tc>
        <w:tc>
          <w:tcPr>
            <w:tcW w:w="804"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耳鼻喉科（</w:t>
            </w:r>
            <w:r>
              <w:rPr>
                <w:rStyle w:val="12"/>
                <w:rFonts w:hint="eastAsia" w:ascii="宋体" w:hAnsi="宋体" w:eastAsia="宋体" w:cs="宋体"/>
                <w:b w:val="0"/>
                <w:sz w:val="24"/>
                <w:szCs w:val="24"/>
                <w:lang w:val="en-US" w:eastAsia="zh-CN"/>
              </w:rPr>
              <w:t>必修</w:t>
            </w:r>
            <w:r>
              <w:rPr>
                <w:rStyle w:val="12"/>
                <w:rFonts w:hint="eastAsia" w:ascii="宋体" w:hAnsi="宋体" w:eastAsia="宋体" w:cs="宋体"/>
                <w:b w:val="0"/>
                <w:sz w:val="24"/>
                <w:szCs w:val="24"/>
                <w:lang w:eastAsia="zh-CN"/>
              </w:rPr>
              <w:t>）</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c>
          <w:tcPr>
            <w:tcW w:w="850"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眼科（</w:t>
            </w:r>
            <w:r>
              <w:rPr>
                <w:rStyle w:val="12"/>
                <w:rFonts w:hint="eastAsia" w:ascii="宋体" w:hAnsi="宋体" w:eastAsia="宋体" w:cs="宋体"/>
                <w:b w:val="0"/>
                <w:sz w:val="24"/>
                <w:szCs w:val="24"/>
                <w:lang w:val="en-US" w:eastAsia="zh-CN"/>
              </w:rPr>
              <w:t>必修</w:t>
            </w:r>
            <w:r>
              <w:rPr>
                <w:rStyle w:val="12"/>
                <w:rFonts w:hint="eastAsia" w:ascii="宋体" w:hAnsi="宋体" w:eastAsia="宋体" w:cs="宋体"/>
                <w:b w:val="0"/>
                <w:sz w:val="24"/>
                <w:szCs w:val="24"/>
                <w:lang w:eastAsia="zh-CN"/>
              </w:rPr>
              <w:t>）</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2</w:t>
            </w:r>
          </w:p>
        </w:tc>
        <w:tc>
          <w:tcPr>
            <w:tcW w:w="992"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2</w:t>
            </w:r>
          </w:p>
        </w:tc>
        <w:tc>
          <w:tcPr>
            <w:tcW w:w="804"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放射科</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c>
          <w:tcPr>
            <w:tcW w:w="850"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Fonts w:hint="eastAsia" w:ascii="宋体" w:hAnsi="宋体" w:eastAsia="宋体" w:cs="宋体"/>
                <w:b w:val="0"/>
                <w:bCs/>
                <w:sz w:val="24"/>
                <w:szCs w:val="24"/>
                <w:lang w:val="en-US" w:eastAsia="zh-CN" w:bidi="ar-SA"/>
              </w:rPr>
            </w:pPr>
            <w:r>
              <w:rPr>
                <w:rStyle w:val="12"/>
                <w:rFonts w:hint="eastAsia" w:ascii="宋体" w:hAnsi="宋体" w:eastAsia="宋体" w:cs="宋体"/>
                <w:b w:val="0"/>
                <w:sz w:val="24"/>
                <w:szCs w:val="24"/>
                <w:lang w:eastAsia="zh-CN"/>
              </w:rPr>
              <w:t>岗前培训</w:t>
            </w:r>
          </w:p>
        </w:tc>
        <w:tc>
          <w:tcPr>
            <w:tcW w:w="851"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1</w:t>
            </w:r>
          </w:p>
        </w:tc>
        <w:tc>
          <w:tcPr>
            <w:tcW w:w="992"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1</w:t>
            </w:r>
          </w:p>
        </w:tc>
        <w:tc>
          <w:tcPr>
            <w:tcW w:w="804"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56" w:type="dxa"/>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p>
        </w:tc>
        <w:tc>
          <w:tcPr>
            <w:tcW w:w="851" w:type="dxa"/>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ind w:firstLine="120" w:firstLineChars="50"/>
              <w:jc w:val="center"/>
              <w:textAlignment w:val="auto"/>
              <w:rPr>
                <w:rStyle w:val="12"/>
                <w:rFonts w:hint="eastAsia" w:ascii="宋体" w:hAnsi="宋体" w:eastAsia="宋体" w:cs="宋体"/>
                <w:b w:val="0"/>
                <w:sz w:val="24"/>
                <w:szCs w:val="24"/>
                <w:lang w:val="en-US" w:eastAsia="zh-CN"/>
              </w:rPr>
            </w:pPr>
          </w:p>
        </w:tc>
        <w:tc>
          <w:tcPr>
            <w:tcW w:w="850" w:type="dxa"/>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p>
        </w:tc>
      </w:tr>
    </w:tbl>
    <w:p>
      <w:pPr>
        <w:pStyle w:val="8"/>
        <w:pageBreakBefore w:val="0"/>
        <w:numPr>
          <w:ilvl w:val="-1"/>
          <w:numId w:val="0"/>
        </w:numPr>
        <w:kinsoku/>
        <w:wordWrap/>
        <w:overflowPunct/>
        <w:topLinePunct w:val="0"/>
        <w:autoSpaceDE/>
        <w:autoSpaceDN/>
        <w:bidi w:val="0"/>
        <w:spacing w:before="0" w:beforeAutospacing="0" w:after="0" w:afterAutospacing="0" w:line="276" w:lineRule="auto"/>
        <w:ind w:firstLine="480" w:firstLineChars="200"/>
        <w:jc w:val="center"/>
        <w:textAlignment w:val="auto"/>
        <w:rPr>
          <w:rStyle w:val="12"/>
          <w:b w:val="0"/>
        </w:rPr>
      </w:pPr>
      <w:r>
        <w:rPr>
          <w:rStyle w:val="12"/>
          <w:rFonts w:hint="eastAsia"/>
          <w:b w:val="0"/>
          <w:lang w:eastAsia="zh-CN"/>
        </w:rPr>
        <w:t>表</w:t>
      </w:r>
      <w:r>
        <w:rPr>
          <w:rStyle w:val="12"/>
          <w:rFonts w:hint="eastAsia"/>
          <w:b w:val="0"/>
          <w:lang w:val="en-US" w:eastAsia="zh-CN"/>
        </w:rPr>
        <w:t>2.</w:t>
      </w:r>
      <w:r>
        <w:rPr>
          <w:rStyle w:val="12"/>
          <w:rFonts w:hint="eastAsia"/>
          <w:b w:val="0"/>
          <w:lang w:eastAsia="zh-CN"/>
        </w:rPr>
        <w:t>法医</w:t>
      </w:r>
      <w:r>
        <w:rPr>
          <w:rStyle w:val="12"/>
          <w:rFonts w:hint="eastAsia"/>
          <w:b w:val="0"/>
        </w:rPr>
        <w:t>实习科目（</w:t>
      </w:r>
      <w:r>
        <w:rPr>
          <w:rStyle w:val="12"/>
          <w:rFonts w:hint="eastAsia"/>
          <w:b w:val="0"/>
          <w:lang w:val="en-US" w:eastAsia="zh-CN"/>
        </w:rPr>
        <w:t>共7</w:t>
      </w:r>
      <w:r>
        <w:rPr>
          <w:rStyle w:val="12"/>
          <w:rFonts w:hint="eastAsia"/>
          <w:b w:val="0"/>
        </w:rPr>
        <w:t>门，</w:t>
      </w:r>
      <w:r>
        <w:rPr>
          <w:rStyle w:val="12"/>
          <w:rFonts w:hint="eastAsia"/>
          <w:b w:val="0"/>
          <w:lang w:val="en-US" w:eastAsia="zh-CN"/>
        </w:rPr>
        <w:t>22</w:t>
      </w:r>
      <w:r>
        <w:rPr>
          <w:rStyle w:val="12"/>
          <w:rFonts w:hint="eastAsia"/>
          <w:b w:val="0"/>
        </w:rPr>
        <w:t>周，</w:t>
      </w:r>
      <w:r>
        <w:rPr>
          <w:rStyle w:val="12"/>
          <w:rFonts w:hint="eastAsia"/>
          <w:b w:val="0"/>
          <w:lang w:val="en-US" w:eastAsia="zh-CN"/>
        </w:rPr>
        <w:t>22</w:t>
      </w:r>
      <w:r>
        <w:rPr>
          <w:rStyle w:val="12"/>
          <w:rFonts w:hint="eastAsia"/>
          <w:b w:val="0"/>
        </w:rPr>
        <w:t>学分）</w:t>
      </w:r>
    </w:p>
    <w:tbl>
      <w:tblPr>
        <w:tblStyle w:val="10"/>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767"/>
        <w:gridCol w:w="2493"/>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809"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both"/>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lang w:val="en-US" w:eastAsia="zh-CN"/>
              </w:rPr>
              <w:t>科目</w:t>
            </w:r>
            <w:r>
              <w:rPr>
                <w:rStyle w:val="12"/>
                <w:rFonts w:hint="eastAsia" w:ascii="宋体" w:hAnsi="宋体" w:eastAsia="宋体" w:cs="宋体"/>
                <w:b w:val="0"/>
                <w:sz w:val="24"/>
                <w:szCs w:val="24"/>
              </w:rPr>
              <w:t>名称</w:t>
            </w:r>
          </w:p>
        </w:tc>
        <w:tc>
          <w:tcPr>
            <w:tcW w:w="851"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周</w:t>
            </w:r>
          </w:p>
        </w:tc>
        <w:tc>
          <w:tcPr>
            <w:tcW w:w="992"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学分</w:t>
            </w:r>
          </w:p>
        </w:tc>
        <w:tc>
          <w:tcPr>
            <w:tcW w:w="767"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93" w:type="dxa"/>
            <w:tcBorders>
              <w:top w:val="single" w:color="auto" w:sz="4" w:space="0"/>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lang w:val="en-US" w:eastAsia="zh-CN"/>
              </w:rPr>
              <w:t>科目</w:t>
            </w:r>
            <w:r>
              <w:rPr>
                <w:rStyle w:val="12"/>
                <w:rFonts w:hint="eastAsia" w:ascii="宋体" w:hAnsi="宋体" w:eastAsia="宋体" w:cs="宋体"/>
                <w:b w:val="0"/>
                <w:sz w:val="24"/>
                <w:szCs w:val="24"/>
              </w:rPr>
              <w:t>名称</w:t>
            </w:r>
          </w:p>
        </w:tc>
        <w:tc>
          <w:tcPr>
            <w:tcW w:w="851"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周</w:t>
            </w:r>
          </w:p>
        </w:tc>
        <w:tc>
          <w:tcPr>
            <w:tcW w:w="850" w:type="dxa"/>
            <w:tcBorders>
              <w:top w:val="single" w:color="auto" w:sz="4" w:space="0"/>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法医病理学</w:t>
            </w:r>
          </w:p>
        </w:tc>
        <w:tc>
          <w:tcPr>
            <w:tcW w:w="851"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c>
          <w:tcPr>
            <w:tcW w:w="992"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c>
          <w:tcPr>
            <w:tcW w:w="767"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93"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法医临床学</w:t>
            </w:r>
          </w:p>
        </w:tc>
        <w:tc>
          <w:tcPr>
            <w:tcW w:w="851"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c>
          <w:tcPr>
            <w:tcW w:w="850" w:type="dxa"/>
            <w:tcBorders>
              <w:top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法医毒物分析</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c>
          <w:tcPr>
            <w:tcW w:w="992"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c>
          <w:tcPr>
            <w:tcW w:w="767"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93"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法医物证学</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c>
          <w:tcPr>
            <w:tcW w:w="850"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r>
              <w:rPr>
                <w:rStyle w:val="12"/>
                <w:rFonts w:hint="eastAsia" w:ascii="宋体" w:hAnsi="宋体" w:eastAsia="宋体" w:cs="宋体"/>
                <w:b w:val="0"/>
                <w:sz w:val="24"/>
                <w:szCs w:val="24"/>
                <w:lang w:eastAsia="zh-CN"/>
              </w:rPr>
              <w:t>刑事科学技术</w:t>
            </w:r>
          </w:p>
        </w:tc>
        <w:tc>
          <w:tcPr>
            <w:tcW w:w="851"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c>
          <w:tcPr>
            <w:tcW w:w="992"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3</w:t>
            </w:r>
          </w:p>
        </w:tc>
        <w:tc>
          <w:tcPr>
            <w:tcW w:w="767"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93" w:type="dxa"/>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法医精神病</w:t>
            </w:r>
          </w:p>
        </w:tc>
        <w:tc>
          <w:tcPr>
            <w:tcW w:w="851" w:type="dxa"/>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c>
          <w:tcPr>
            <w:tcW w:w="850" w:type="dxa"/>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809"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Fonts w:hint="eastAsia" w:ascii="宋体" w:hAnsi="宋体" w:eastAsia="宋体" w:cs="宋体"/>
                <w:b w:val="0"/>
                <w:bCs/>
                <w:sz w:val="24"/>
                <w:szCs w:val="24"/>
                <w:lang w:val="en-US" w:eastAsia="zh-CN" w:bidi="ar-SA"/>
              </w:rPr>
            </w:pPr>
            <w:r>
              <w:rPr>
                <w:rStyle w:val="12"/>
                <w:rFonts w:hint="eastAsia" w:ascii="宋体" w:hAnsi="宋体" w:eastAsia="宋体" w:cs="宋体"/>
                <w:b w:val="0"/>
                <w:sz w:val="24"/>
                <w:szCs w:val="24"/>
                <w:lang w:eastAsia="zh-CN"/>
              </w:rPr>
              <w:t>岗前培训</w:t>
            </w:r>
          </w:p>
        </w:tc>
        <w:tc>
          <w:tcPr>
            <w:tcW w:w="851"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1</w:t>
            </w:r>
          </w:p>
        </w:tc>
        <w:tc>
          <w:tcPr>
            <w:tcW w:w="992"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r>
              <w:rPr>
                <w:rStyle w:val="12"/>
                <w:rFonts w:hint="eastAsia" w:ascii="宋体" w:hAnsi="宋体" w:eastAsia="宋体" w:cs="宋体"/>
                <w:b w:val="0"/>
                <w:sz w:val="24"/>
                <w:szCs w:val="24"/>
                <w:lang w:val="en-US" w:eastAsia="zh-CN"/>
              </w:rPr>
              <w:t>1</w:t>
            </w:r>
          </w:p>
        </w:tc>
        <w:tc>
          <w:tcPr>
            <w:tcW w:w="767"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p>
        </w:tc>
        <w:tc>
          <w:tcPr>
            <w:tcW w:w="2493"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jc w:val="left"/>
              <w:textAlignment w:val="auto"/>
              <w:rPr>
                <w:rStyle w:val="12"/>
                <w:rFonts w:hint="eastAsia" w:ascii="宋体" w:hAnsi="宋体" w:eastAsia="宋体" w:cs="宋体"/>
                <w:b w:val="0"/>
                <w:sz w:val="24"/>
                <w:szCs w:val="24"/>
                <w:lang w:eastAsia="zh-CN"/>
              </w:rPr>
            </w:pPr>
          </w:p>
        </w:tc>
        <w:tc>
          <w:tcPr>
            <w:tcW w:w="851" w:type="dxa"/>
            <w:tcBorders>
              <w:bottom w:val="single" w:color="auto" w:sz="4" w:space="0"/>
            </w:tcBorders>
            <w:vAlign w:val="top"/>
          </w:tcPr>
          <w:p>
            <w:pPr>
              <w:keepNext w:val="0"/>
              <w:keepLines w:val="0"/>
              <w:pageBreakBefore w:val="0"/>
              <w:widowControl/>
              <w:kinsoku/>
              <w:wordWrap/>
              <w:overflowPunct/>
              <w:topLinePunct w:val="0"/>
              <w:autoSpaceDE/>
              <w:autoSpaceDN/>
              <w:bidi w:val="0"/>
              <w:adjustRightInd w:val="0"/>
              <w:snapToGrid w:val="0"/>
              <w:spacing w:after="0" w:line="276" w:lineRule="auto"/>
              <w:ind w:firstLine="120" w:firstLineChars="50"/>
              <w:jc w:val="center"/>
              <w:textAlignment w:val="auto"/>
              <w:rPr>
                <w:rStyle w:val="12"/>
                <w:rFonts w:hint="eastAsia" w:ascii="宋体" w:hAnsi="宋体" w:eastAsia="宋体" w:cs="宋体"/>
                <w:b w:val="0"/>
                <w:sz w:val="24"/>
                <w:szCs w:val="24"/>
                <w:lang w:val="en-US" w:eastAsia="zh-CN"/>
              </w:rPr>
            </w:pPr>
          </w:p>
        </w:tc>
        <w:tc>
          <w:tcPr>
            <w:tcW w:w="850" w:type="dxa"/>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lang w:val="en-US" w:eastAsia="zh-CN"/>
              </w:rPr>
            </w:pPr>
          </w:p>
        </w:tc>
      </w:tr>
    </w:tbl>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kern w:val="0"/>
          <w:sz w:val="24"/>
          <w:szCs w:val="24"/>
        </w:rPr>
        <w:t>※</w:t>
      </w:r>
      <w:r>
        <w:rPr>
          <w:rFonts w:hint="eastAsia" w:ascii="宋体" w:hAnsi="宋体" w:eastAsia="宋体" w:cs="宋体"/>
          <w:sz w:val="24"/>
          <w:szCs w:val="24"/>
          <w:lang w:eastAsia="zh-CN"/>
        </w:rPr>
        <w:t>法医精神病实习及见习</w:t>
      </w:r>
      <w:r>
        <w:rPr>
          <w:rFonts w:hint="eastAsia" w:ascii="宋体" w:hAnsi="宋体" w:eastAsia="宋体" w:cs="宋体"/>
          <w:sz w:val="24"/>
          <w:szCs w:val="24"/>
          <w:lang w:val="en-US" w:eastAsia="zh-CN"/>
        </w:rPr>
        <w:t>4周</w:t>
      </w:r>
      <w:r>
        <w:rPr>
          <w:rFonts w:hint="eastAsia" w:ascii="宋体" w:hAnsi="宋体" w:eastAsia="宋体" w:cs="宋体"/>
          <w:sz w:val="24"/>
          <w:szCs w:val="24"/>
          <w:lang w:eastAsia="zh-CN"/>
        </w:rPr>
        <w:t>在精神病学和法医精神学授课结束完成。</w:t>
      </w:r>
    </w:p>
    <w:p>
      <w:pPr>
        <w:pageBreakBefore w:val="0"/>
        <w:numPr>
          <w:ilvl w:val="-1"/>
          <w:numId w:val="0"/>
        </w:numPr>
        <w:kinsoku/>
        <w:wordWrap/>
        <w:overflowPunct/>
        <w:topLinePunct w:val="0"/>
        <w:autoSpaceDE/>
        <w:autoSpaceDN/>
        <w:bidi w:val="0"/>
        <w:spacing w:after="0" w:line="276" w:lineRule="auto"/>
        <w:ind w:firstLine="480" w:firstLineChars="200"/>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机动4周用于事假、考试、双选、公益活动等。</w:t>
      </w:r>
    </w:p>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（五）社会实践：共</w:t>
      </w:r>
      <w:r>
        <w:rPr>
          <w:rFonts w:ascii="宋体" w:hAnsi="宋体" w:eastAsia="宋体" w:cs="宋体"/>
          <w:sz w:val="24"/>
          <w:szCs w:val="24"/>
        </w:rPr>
        <w:t>2</w:t>
      </w:r>
      <w:r>
        <w:rPr>
          <w:rFonts w:hint="eastAsia" w:ascii="宋体" w:hAnsi="宋体" w:eastAsia="宋体" w:cs="宋体"/>
          <w:sz w:val="24"/>
          <w:szCs w:val="24"/>
        </w:rPr>
        <w:t>周，</w:t>
      </w:r>
      <w:r>
        <w:rPr>
          <w:rFonts w:ascii="宋体" w:hAnsi="宋体" w:eastAsia="宋体" w:cs="宋体"/>
          <w:sz w:val="24"/>
          <w:szCs w:val="24"/>
        </w:rPr>
        <w:t>2</w:t>
      </w:r>
      <w:r>
        <w:rPr>
          <w:rFonts w:hint="eastAsia" w:ascii="宋体" w:hAnsi="宋体" w:eastAsia="宋体" w:cs="宋体"/>
          <w:sz w:val="24"/>
          <w:szCs w:val="24"/>
        </w:rPr>
        <w:t>学分。</w:t>
      </w:r>
    </w:p>
    <w:p>
      <w:pPr>
        <w:pStyle w:val="4"/>
        <w:pageBreakBefore w:val="0"/>
        <w:kinsoku/>
        <w:wordWrap/>
        <w:overflowPunct/>
        <w:topLinePunct w:val="0"/>
        <w:autoSpaceDE/>
        <w:autoSpaceDN/>
        <w:bidi w:val="0"/>
        <w:spacing w:after="0" w:line="276" w:lineRule="auto"/>
        <w:ind w:left="0" w:leftChars="0" w:firstLine="720" w:firstLineChars="300"/>
        <w:textAlignment w:val="auto"/>
        <w:rPr>
          <w:rFonts w:hint="eastAsia" w:ascii="宋体" w:hAnsi="宋体" w:cs="宋体"/>
        </w:rPr>
      </w:pPr>
      <w:r>
        <w:rPr>
          <w:rFonts w:hint="eastAsia" w:ascii="宋体" w:hAnsi="宋体" w:cs="宋体"/>
          <w:lang w:val="en-US" w:eastAsia="zh-CN"/>
        </w:rPr>
        <w:t>1.</w:t>
      </w:r>
      <w:r>
        <w:rPr>
          <w:rFonts w:hint="eastAsia" w:ascii="宋体" w:hAnsi="宋体" w:cs="宋体"/>
        </w:rPr>
        <w:t>假期社会实践：寒暑假社会实践</w:t>
      </w:r>
      <w:r>
        <w:rPr>
          <w:rFonts w:hint="eastAsia" w:ascii="宋体" w:hAnsi="宋体" w:cs="宋体"/>
          <w:lang w:eastAsia="zh-CN"/>
        </w:rPr>
        <w:t>（到</w:t>
      </w:r>
      <w:r>
        <w:rPr>
          <w:rFonts w:hint="eastAsia" w:ascii="宋体" w:hAnsi="宋体" w:eastAsia="宋体" w:cs="宋体"/>
          <w:sz w:val="24"/>
          <w:szCs w:val="24"/>
        </w:rPr>
        <w:t>公安局、司法鉴定中心（所）</w:t>
      </w:r>
      <w:r>
        <w:rPr>
          <w:rFonts w:hint="eastAsia" w:ascii="宋体" w:hAnsi="宋体" w:cs="宋体"/>
          <w:sz w:val="24"/>
          <w:szCs w:val="24"/>
          <w:lang w:eastAsia="zh-CN"/>
        </w:rPr>
        <w:t>完成见习</w:t>
      </w:r>
      <w:r>
        <w:rPr>
          <w:rFonts w:hint="eastAsia" w:ascii="宋体" w:hAnsi="宋体" w:cs="宋体"/>
          <w:lang w:eastAsia="zh-CN"/>
        </w:rPr>
        <w:t>）</w:t>
      </w:r>
      <w:r>
        <w:rPr>
          <w:rFonts w:hint="eastAsia" w:ascii="宋体" w:hAnsi="宋体" w:cs="宋体"/>
        </w:rPr>
        <w:t>，</w:t>
      </w:r>
      <w:r>
        <w:rPr>
          <w:rFonts w:ascii="宋体" w:hAnsi="宋体" w:cs="宋体"/>
        </w:rPr>
        <w:t>36</w:t>
      </w:r>
      <w:r>
        <w:rPr>
          <w:rFonts w:hint="eastAsia" w:ascii="宋体" w:hAnsi="宋体" w:cs="宋体"/>
        </w:rPr>
        <w:t>学时（</w:t>
      </w:r>
      <w:r>
        <w:rPr>
          <w:rFonts w:ascii="宋体" w:hAnsi="宋体" w:cs="宋体"/>
        </w:rPr>
        <w:t>1</w:t>
      </w:r>
      <w:r>
        <w:rPr>
          <w:rFonts w:hint="eastAsia" w:ascii="宋体" w:hAnsi="宋体" w:cs="宋体"/>
        </w:rPr>
        <w:t>周）计</w:t>
      </w:r>
      <w:r>
        <w:rPr>
          <w:rFonts w:ascii="宋体" w:hAnsi="宋体" w:cs="宋体"/>
        </w:rPr>
        <w:t>1</w:t>
      </w:r>
      <w:r>
        <w:rPr>
          <w:rFonts w:hint="eastAsia" w:ascii="宋体" w:hAnsi="宋体" w:cs="宋体"/>
        </w:rPr>
        <w:t>学分。</w:t>
      </w:r>
    </w:p>
    <w:p>
      <w:pPr>
        <w:pStyle w:val="4"/>
        <w:pageBreakBefore w:val="0"/>
        <w:kinsoku/>
        <w:wordWrap/>
        <w:overflowPunct/>
        <w:topLinePunct w:val="0"/>
        <w:autoSpaceDE/>
        <w:autoSpaceDN/>
        <w:bidi w:val="0"/>
        <w:spacing w:after="0" w:line="276" w:lineRule="auto"/>
        <w:ind w:left="0" w:leftChars="0" w:firstLine="720" w:firstLineChars="300"/>
        <w:textAlignment w:val="auto"/>
        <w:rPr>
          <w:rFonts w:hint="eastAsia" w:ascii="宋体" w:hAnsi="宋体" w:cs="宋体"/>
        </w:rPr>
      </w:pPr>
      <w:r>
        <w:rPr>
          <w:rFonts w:hint="eastAsia" w:ascii="宋体" w:hAnsi="宋体" w:cs="宋体"/>
          <w:lang w:val="en-US" w:eastAsia="zh-CN"/>
        </w:rPr>
        <w:t>2.</w:t>
      </w:r>
      <w:r>
        <w:rPr>
          <w:rFonts w:hint="eastAsia" w:ascii="宋体" w:hAnsi="宋体" w:cs="宋体"/>
        </w:rPr>
        <w:t>志愿服务：校内外志愿服务活动，</w:t>
      </w:r>
      <w:r>
        <w:rPr>
          <w:rFonts w:ascii="宋体" w:hAnsi="宋体" w:cs="宋体"/>
        </w:rPr>
        <w:t>36</w:t>
      </w:r>
      <w:r>
        <w:rPr>
          <w:rFonts w:hint="eastAsia" w:ascii="宋体" w:hAnsi="宋体" w:cs="宋体"/>
        </w:rPr>
        <w:t>学时（</w:t>
      </w:r>
      <w:r>
        <w:rPr>
          <w:rFonts w:ascii="宋体" w:hAnsi="宋体" w:cs="宋体"/>
        </w:rPr>
        <w:t>1</w:t>
      </w:r>
      <w:r>
        <w:rPr>
          <w:rFonts w:hint="eastAsia" w:ascii="宋体" w:hAnsi="宋体" w:cs="宋体"/>
        </w:rPr>
        <w:t>周）计</w:t>
      </w:r>
      <w:r>
        <w:rPr>
          <w:rFonts w:ascii="宋体" w:hAnsi="宋体" w:cs="宋体"/>
        </w:rPr>
        <w:t>1</w:t>
      </w:r>
      <w:r>
        <w:rPr>
          <w:rFonts w:hint="eastAsia" w:ascii="宋体" w:hAnsi="宋体" w:cs="宋体"/>
        </w:rPr>
        <w:t>学分。</w:t>
      </w:r>
    </w:p>
    <w:p>
      <w:pPr>
        <w:pStyle w:val="4"/>
        <w:pageBreakBefore w:val="0"/>
        <w:kinsoku/>
        <w:wordWrap/>
        <w:overflowPunct/>
        <w:topLinePunct w:val="0"/>
        <w:autoSpaceDE/>
        <w:autoSpaceDN/>
        <w:bidi w:val="0"/>
        <w:spacing w:after="0" w:line="276" w:lineRule="auto"/>
        <w:ind w:left="0" w:leftChars="0" w:firstLine="720" w:firstLineChars="300"/>
        <w:textAlignment w:val="auto"/>
        <w:rPr>
          <w:rFonts w:hint="eastAsia" w:ascii="宋体" w:hAnsi="宋体" w:cs="宋体"/>
        </w:rPr>
      </w:pPr>
      <w:r>
        <w:rPr>
          <w:rFonts w:hint="eastAsia" w:ascii="宋体" w:hAnsi="宋体" w:cs="宋体"/>
        </w:rPr>
        <w:t>单项或者累计学分满</w:t>
      </w:r>
      <w:r>
        <w:rPr>
          <w:rFonts w:ascii="宋体" w:hAnsi="宋体" w:cs="宋体"/>
        </w:rPr>
        <w:t>2</w:t>
      </w:r>
      <w:r>
        <w:rPr>
          <w:rFonts w:hint="eastAsia" w:ascii="宋体" w:hAnsi="宋体" w:cs="宋体"/>
        </w:rPr>
        <w:t>学分者，计</w:t>
      </w:r>
      <w:r>
        <w:rPr>
          <w:rFonts w:ascii="宋体" w:hAnsi="宋体" w:cs="宋体"/>
        </w:rPr>
        <w:t>2</w:t>
      </w:r>
      <w:r>
        <w:rPr>
          <w:rFonts w:hint="eastAsia" w:ascii="宋体" w:hAnsi="宋体" w:cs="宋体"/>
        </w:rPr>
        <w:t>学分。</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六、学制及修业年限</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（一）基本学制：</w:t>
      </w:r>
      <w:r>
        <w:rPr>
          <w:rFonts w:ascii="宋体" w:hAnsi="宋体" w:eastAsia="宋体" w:cs="宋体"/>
          <w:sz w:val="24"/>
          <w:szCs w:val="24"/>
        </w:rPr>
        <w:t>5</w:t>
      </w:r>
      <w:r>
        <w:rPr>
          <w:rFonts w:hint="eastAsia" w:ascii="宋体" w:hAnsi="宋体" w:eastAsia="宋体" w:cs="宋体"/>
          <w:sz w:val="24"/>
          <w:szCs w:val="24"/>
        </w:rPr>
        <w:t>年</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（二）修业年限：</w:t>
      </w: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8</w:t>
      </w:r>
      <w:r>
        <w:rPr>
          <w:rFonts w:hint="eastAsia" w:ascii="宋体" w:hAnsi="宋体" w:eastAsia="宋体" w:cs="宋体"/>
          <w:sz w:val="24"/>
          <w:szCs w:val="24"/>
        </w:rPr>
        <w:t>年</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（三）各</w:t>
      </w:r>
      <w:r>
        <w:rPr>
          <w:rStyle w:val="12"/>
          <w:rFonts w:hint="eastAsia" w:ascii="Times New Roman" w:hAnsi="Times New Roman" w:cs="Times New Roman"/>
          <w:b w:val="0"/>
          <w:bCs w:val="0"/>
          <w:color w:val="auto"/>
          <w:kern w:val="0"/>
        </w:rPr>
        <w:t>学年</w:t>
      </w:r>
      <w:r>
        <w:rPr>
          <w:rFonts w:hint="eastAsia" w:ascii="宋体" w:hAnsi="宋体" w:eastAsia="宋体" w:cs="宋体"/>
          <w:sz w:val="24"/>
          <w:szCs w:val="24"/>
        </w:rPr>
        <w:t>时间分配</w:t>
      </w:r>
      <w:r>
        <w:rPr>
          <w:rFonts w:hint="eastAsia" w:ascii="宋体" w:hAnsi="宋体" w:eastAsia="宋体" w:cs="宋体"/>
          <w:sz w:val="24"/>
          <w:szCs w:val="24"/>
          <w:lang w:eastAsia="zh-CN"/>
        </w:rPr>
        <w:t>，详见</w:t>
      </w:r>
      <w:r>
        <w:rPr>
          <w:rFonts w:hint="eastAsia" w:ascii="宋体" w:hAnsi="宋体" w:eastAsia="宋体" w:cs="宋体"/>
          <w:sz w:val="24"/>
          <w:szCs w:val="24"/>
        </w:rPr>
        <w:t>表</w:t>
      </w:r>
      <w:r>
        <w:rPr>
          <w:rFonts w:hint="eastAsia" w:ascii="宋体" w:hAnsi="宋体" w:eastAsia="宋体" w:cs="宋体"/>
          <w:sz w:val="24"/>
          <w:szCs w:val="24"/>
          <w:lang w:val="en-US" w:eastAsia="zh-CN"/>
        </w:rPr>
        <w:t>3</w:t>
      </w:r>
    </w:p>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表</w:t>
      </w:r>
      <w:r>
        <w:rPr>
          <w:rFonts w:hint="eastAsia" w:ascii="宋体" w:hAnsi="宋体" w:eastAsia="宋体" w:cs="宋体"/>
          <w:sz w:val="24"/>
          <w:szCs w:val="24"/>
          <w:lang w:val="en-US" w:eastAsia="zh-CN"/>
        </w:rPr>
        <w:t>3</w:t>
      </w:r>
      <w:r>
        <w:rPr>
          <w:rFonts w:ascii="宋体" w:hAnsi="宋体" w:eastAsia="宋体" w:cs="宋体"/>
          <w:sz w:val="24"/>
          <w:szCs w:val="24"/>
        </w:rPr>
        <w:t xml:space="preserve">  </w:t>
      </w:r>
      <w:r>
        <w:rPr>
          <w:rFonts w:hint="eastAsia" w:ascii="宋体" w:hAnsi="宋体" w:eastAsia="宋体" w:cs="宋体"/>
          <w:sz w:val="24"/>
          <w:szCs w:val="24"/>
        </w:rPr>
        <w:t>五年制法医学专业各学年时间分配表（单位：周）</w:t>
      </w:r>
    </w:p>
    <w:tbl>
      <w:tblPr>
        <w:tblStyle w:val="10"/>
        <w:tblW w:w="0" w:type="auto"/>
        <w:jc w:val="center"/>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0"/>
        <w:gridCol w:w="1048"/>
        <w:gridCol w:w="1022"/>
        <w:gridCol w:w="1337"/>
        <w:gridCol w:w="859"/>
        <w:gridCol w:w="1104"/>
        <w:gridCol w:w="1489"/>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学年</w:t>
            </w:r>
          </w:p>
        </w:tc>
        <w:tc>
          <w:tcPr>
            <w:tcW w:w="1048"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教学</w:t>
            </w:r>
          </w:p>
        </w:tc>
        <w:tc>
          <w:tcPr>
            <w:tcW w:w="1022"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考试</w:t>
            </w:r>
          </w:p>
        </w:tc>
        <w:tc>
          <w:tcPr>
            <w:tcW w:w="1337"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毕业实习</w:t>
            </w:r>
          </w:p>
        </w:tc>
        <w:tc>
          <w:tcPr>
            <w:tcW w:w="859"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机动</w:t>
            </w:r>
          </w:p>
        </w:tc>
        <w:tc>
          <w:tcPr>
            <w:tcW w:w="1104"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假期</w:t>
            </w:r>
          </w:p>
        </w:tc>
        <w:tc>
          <w:tcPr>
            <w:tcW w:w="1489" w:type="dxa"/>
            <w:vMerge w:val="restart"/>
            <w:tcBorders>
              <w:top w:val="single" w:color="auto" w:sz="8" w:space="0"/>
              <w:bottom w:val="single" w:color="auto" w:sz="8" w:space="0"/>
            </w:tcBorders>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Style w:val="12"/>
                <w:rFonts w:hint="eastAsia" w:ascii="宋体" w:hAnsi="宋体" w:eastAsia="宋体" w:cs="宋体"/>
                <w:b w:val="0"/>
                <w:sz w:val="24"/>
                <w:szCs w:val="24"/>
              </w:rPr>
            </w:pPr>
            <w:r>
              <w:rPr>
                <w:rStyle w:val="12"/>
                <w:rFonts w:hint="eastAsia" w:ascii="宋体" w:hAnsi="宋体" w:eastAsia="宋体" w:cs="宋体"/>
                <w:b w:val="0"/>
                <w:sz w:val="24"/>
                <w:szCs w:val="24"/>
              </w:rPr>
              <w:t>合计</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1048"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1022"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1337"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859"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1104"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c>
          <w:tcPr>
            <w:tcW w:w="1489" w:type="dxa"/>
            <w:vMerge w:val="continue"/>
            <w:tcBorders>
              <w:top w:val="nil"/>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一</w:t>
            </w:r>
          </w:p>
        </w:tc>
        <w:tc>
          <w:tcPr>
            <w:tcW w:w="1048"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ascii="宋体" w:hAnsi="宋体" w:eastAsia="宋体" w:cs="宋体"/>
                <w:sz w:val="24"/>
                <w:szCs w:val="24"/>
              </w:rPr>
              <w:t>31</w:t>
            </w:r>
          </w:p>
        </w:tc>
        <w:tc>
          <w:tcPr>
            <w:tcW w:w="1022"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4</w:t>
            </w:r>
          </w:p>
        </w:tc>
        <w:tc>
          <w:tcPr>
            <w:tcW w:w="1337"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859"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ascii="宋体" w:hAnsi="宋体" w:eastAsia="宋体" w:cs="宋体"/>
                <w:sz w:val="24"/>
                <w:szCs w:val="24"/>
              </w:rPr>
              <w:t>3</w:t>
            </w:r>
          </w:p>
        </w:tc>
        <w:tc>
          <w:tcPr>
            <w:tcW w:w="1104"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14</w:t>
            </w:r>
          </w:p>
        </w:tc>
        <w:tc>
          <w:tcPr>
            <w:tcW w:w="1489" w:type="dxa"/>
            <w:tcBorders>
              <w:top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二</w:t>
            </w:r>
          </w:p>
        </w:tc>
        <w:tc>
          <w:tcPr>
            <w:tcW w:w="1048"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32</w:t>
            </w:r>
          </w:p>
        </w:tc>
        <w:tc>
          <w:tcPr>
            <w:tcW w:w="1022"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4</w:t>
            </w:r>
          </w:p>
        </w:tc>
        <w:tc>
          <w:tcPr>
            <w:tcW w:w="1337"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85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2</w:t>
            </w:r>
          </w:p>
        </w:tc>
        <w:tc>
          <w:tcPr>
            <w:tcW w:w="1104"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14</w:t>
            </w:r>
          </w:p>
        </w:tc>
        <w:tc>
          <w:tcPr>
            <w:tcW w:w="148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三</w:t>
            </w:r>
          </w:p>
        </w:tc>
        <w:tc>
          <w:tcPr>
            <w:tcW w:w="1048"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32</w:t>
            </w:r>
          </w:p>
        </w:tc>
        <w:tc>
          <w:tcPr>
            <w:tcW w:w="1022"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4</w:t>
            </w:r>
          </w:p>
        </w:tc>
        <w:tc>
          <w:tcPr>
            <w:tcW w:w="1337"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85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2</w:t>
            </w:r>
          </w:p>
        </w:tc>
        <w:tc>
          <w:tcPr>
            <w:tcW w:w="1104"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ascii="宋体" w:hAnsi="宋体" w:eastAsia="宋体" w:cs="宋体"/>
                <w:sz w:val="24"/>
                <w:szCs w:val="24"/>
              </w:rPr>
              <w:t>1</w:t>
            </w:r>
            <w:r>
              <w:rPr>
                <w:rFonts w:hint="eastAsia" w:ascii="宋体" w:hAnsi="宋体" w:eastAsia="宋体" w:cs="宋体"/>
                <w:sz w:val="24"/>
                <w:szCs w:val="24"/>
                <w:lang w:val="en-US" w:eastAsia="zh-CN"/>
              </w:rPr>
              <w:t>0</w:t>
            </w:r>
          </w:p>
        </w:tc>
        <w:tc>
          <w:tcPr>
            <w:tcW w:w="148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四</w:t>
            </w:r>
          </w:p>
        </w:tc>
        <w:tc>
          <w:tcPr>
            <w:tcW w:w="1048"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16</w:t>
            </w:r>
          </w:p>
        </w:tc>
        <w:tc>
          <w:tcPr>
            <w:tcW w:w="1022"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2</w:t>
            </w:r>
          </w:p>
        </w:tc>
        <w:tc>
          <w:tcPr>
            <w:tcW w:w="1337" w:type="dxa"/>
            <w:vAlign w:val="center"/>
          </w:tcPr>
          <w:p>
            <w:pPr>
              <w:pageBreakBefore w:val="0"/>
              <w:kinsoku/>
              <w:wordWrap/>
              <w:overflowPunct/>
              <w:topLinePunct w:val="0"/>
              <w:autoSpaceDE/>
              <w:autoSpaceDN/>
              <w:bidi w:val="0"/>
              <w:spacing w:after="0" w:line="276"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26</w:t>
            </w:r>
          </w:p>
        </w:tc>
        <w:tc>
          <w:tcPr>
            <w:tcW w:w="859"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1104"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48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52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10"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五</w:t>
            </w:r>
          </w:p>
        </w:tc>
        <w:tc>
          <w:tcPr>
            <w:tcW w:w="1048"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p>
        </w:tc>
        <w:tc>
          <w:tcPr>
            <w:tcW w:w="1022"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1337" w:type="dxa"/>
            <w:vAlign w:val="center"/>
          </w:tcPr>
          <w:p>
            <w:pPr>
              <w:pageBreakBefore w:val="0"/>
              <w:kinsoku/>
              <w:wordWrap/>
              <w:overflowPunct/>
              <w:topLinePunct w:val="0"/>
              <w:autoSpaceDE/>
              <w:autoSpaceDN/>
              <w:bidi w:val="0"/>
              <w:spacing w:after="0" w:line="276"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18</w:t>
            </w:r>
          </w:p>
        </w:tc>
        <w:tc>
          <w:tcPr>
            <w:tcW w:w="859" w:type="dxa"/>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6</w:t>
            </w:r>
          </w:p>
        </w:tc>
        <w:tc>
          <w:tcPr>
            <w:tcW w:w="1104" w:type="dxa"/>
            <w:vAlign w:val="center"/>
          </w:tcPr>
          <w:p>
            <w:pPr>
              <w:pageBreakBefore w:val="0"/>
              <w:kinsoku/>
              <w:wordWrap/>
              <w:overflowPunct/>
              <w:topLinePunct w:val="0"/>
              <w:autoSpaceDE/>
              <w:autoSpaceDN/>
              <w:bidi w:val="0"/>
              <w:spacing w:after="0" w:line="276"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489" w:type="dxa"/>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ascii="宋体" w:hAnsi="宋体" w:eastAsia="宋体" w:cs="宋体"/>
                <w:sz w:val="24"/>
                <w:szCs w:val="24"/>
              </w:rPr>
              <w:t>4</w:t>
            </w:r>
            <w:r>
              <w:rPr>
                <w:rFonts w:hint="eastAsia" w:ascii="宋体" w:hAnsi="宋体" w:eastAsia="宋体" w:cs="宋体"/>
                <w:sz w:val="24"/>
                <w:szCs w:val="24"/>
                <w:lang w:val="en-US" w:eastAsia="zh-CN"/>
              </w:rPr>
              <w:t>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910"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合计</w:t>
            </w:r>
          </w:p>
        </w:tc>
        <w:tc>
          <w:tcPr>
            <w:tcW w:w="1048"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rPr>
            </w:pPr>
            <w:r>
              <w:rPr>
                <w:rFonts w:ascii="宋体" w:hAnsi="宋体" w:eastAsia="宋体" w:cs="宋体"/>
                <w:sz w:val="24"/>
                <w:szCs w:val="24"/>
              </w:rPr>
              <w:t>12</w:t>
            </w:r>
            <w:r>
              <w:rPr>
                <w:rFonts w:hint="eastAsia" w:ascii="宋体" w:hAnsi="宋体" w:eastAsia="宋体" w:cs="宋体"/>
                <w:sz w:val="24"/>
                <w:szCs w:val="24"/>
                <w:lang w:val="en-US" w:eastAsia="zh-CN"/>
              </w:rPr>
              <w:t>7</w:t>
            </w:r>
          </w:p>
        </w:tc>
        <w:tc>
          <w:tcPr>
            <w:tcW w:w="1022"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lang w:val="en-US" w:eastAsia="zh-CN"/>
              </w:rPr>
              <w:t>6</w:t>
            </w:r>
          </w:p>
        </w:tc>
        <w:tc>
          <w:tcPr>
            <w:tcW w:w="1337"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ascii="宋体" w:hAnsi="宋体" w:eastAsia="宋体" w:cs="宋体"/>
                <w:sz w:val="24"/>
                <w:szCs w:val="24"/>
              </w:rPr>
            </w:pPr>
            <w:r>
              <w:rPr>
                <w:rFonts w:ascii="宋体" w:hAnsi="宋体" w:eastAsia="宋体" w:cs="宋体"/>
                <w:sz w:val="24"/>
                <w:szCs w:val="24"/>
              </w:rPr>
              <w:t>48</w:t>
            </w:r>
          </w:p>
        </w:tc>
        <w:tc>
          <w:tcPr>
            <w:tcW w:w="859"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w:t>
            </w:r>
          </w:p>
        </w:tc>
        <w:tc>
          <w:tcPr>
            <w:tcW w:w="1104"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52</w:t>
            </w:r>
          </w:p>
        </w:tc>
        <w:tc>
          <w:tcPr>
            <w:tcW w:w="1489" w:type="dxa"/>
            <w:tcBorders>
              <w:bottom w:val="single" w:color="auto" w:sz="8" w:space="0"/>
            </w:tcBorders>
            <w:vAlign w:val="center"/>
          </w:tcPr>
          <w:p>
            <w:pPr>
              <w:pageBreakBefore w:val="0"/>
              <w:kinsoku/>
              <w:wordWrap/>
              <w:overflowPunct/>
              <w:topLinePunct w:val="0"/>
              <w:autoSpaceDE/>
              <w:autoSpaceDN/>
              <w:bidi w:val="0"/>
              <w:spacing w:after="0" w:line="276" w:lineRule="auto"/>
              <w:jc w:val="center"/>
              <w:textAlignment w:val="auto"/>
              <w:rPr>
                <w:rFonts w:hint="eastAsia" w:ascii="宋体" w:hAnsi="宋体" w:eastAsia="宋体" w:cs="宋体"/>
                <w:sz w:val="24"/>
                <w:szCs w:val="24"/>
                <w:lang w:eastAsia="zh-CN"/>
              </w:rPr>
            </w:pPr>
            <w:r>
              <w:rPr>
                <w:rFonts w:ascii="宋体" w:hAnsi="宋体" w:eastAsia="宋体" w:cs="宋体"/>
                <w:sz w:val="24"/>
                <w:szCs w:val="24"/>
              </w:rPr>
              <w:t>25</w:t>
            </w:r>
            <w:r>
              <w:rPr>
                <w:rFonts w:hint="eastAsia" w:ascii="宋体" w:hAnsi="宋体" w:eastAsia="宋体" w:cs="宋体"/>
                <w:sz w:val="24"/>
                <w:szCs w:val="24"/>
                <w:lang w:val="en-US" w:eastAsia="zh-CN"/>
              </w:rPr>
              <w:t>4</w:t>
            </w:r>
          </w:p>
        </w:tc>
      </w:tr>
    </w:tbl>
    <w:p>
      <w:pPr>
        <w:pageBreakBefore w:val="0"/>
        <w:kinsoku/>
        <w:wordWrap/>
        <w:overflowPunct/>
        <w:topLinePunct w:val="0"/>
        <w:autoSpaceDE/>
        <w:autoSpaceDN/>
        <w:bidi w:val="0"/>
        <w:spacing w:after="0" w:line="27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法医综合</w:t>
      </w:r>
      <w:r>
        <w:rPr>
          <w:rFonts w:hint="eastAsia" w:ascii="宋体" w:hAnsi="宋体" w:eastAsia="宋体" w:cs="宋体"/>
          <w:sz w:val="24"/>
          <w:szCs w:val="24"/>
        </w:rPr>
        <w:t>技能培训安排在</w:t>
      </w:r>
      <w:r>
        <w:rPr>
          <w:rFonts w:ascii="宋体" w:hAnsi="宋体" w:eastAsia="宋体" w:cs="宋体"/>
          <w:sz w:val="24"/>
          <w:szCs w:val="24"/>
        </w:rPr>
        <w:t>2-</w:t>
      </w:r>
      <w:r>
        <w:rPr>
          <w:rFonts w:hint="eastAsia" w:ascii="宋体" w:hAnsi="宋体" w:eastAsia="宋体" w:cs="宋体"/>
          <w:sz w:val="24"/>
          <w:szCs w:val="24"/>
          <w:lang w:val="en-US" w:eastAsia="zh-CN"/>
        </w:rPr>
        <w:t>10</w:t>
      </w:r>
      <w:r>
        <w:rPr>
          <w:rFonts w:hint="eastAsia" w:ascii="宋体" w:hAnsi="宋体" w:eastAsia="宋体" w:cs="宋体"/>
          <w:sz w:val="24"/>
          <w:szCs w:val="24"/>
        </w:rPr>
        <w:t>学期进行；社会实践</w:t>
      </w:r>
      <w:r>
        <w:rPr>
          <w:rFonts w:ascii="宋体" w:hAnsi="宋体" w:eastAsia="宋体" w:cs="宋体"/>
          <w:sz w:val="24"/>
          <w:szCs w:val="24"/>
        </w:rPr>
        <w:t>2</w:t>
      </w:r>
      <w:r>
        <w:rPr>
          <w:rFonts w:hint="eastAsia" w:ascii="宋体" w:hAnsi="宋体" w:eastAsia="宋体" w:cs="宋体"/>
          <w:sz w:val="24"/>
          <w:szCs w:val="24"/>
        </w:rPr>
        <w:t>周，由校团委作统一部署，机动含军训、社会实践、毕业考试等其他环节。</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七、毕业与学位</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在学校规定修业年限内修完全部必修课程，成绩合格，限选课程修满</w:t>
      </w:r>
      <w:r>
        <w:rPr>
          <w:rFonts w:hint="eastAsia" w:cs="宋体"/>
          <w:sz w:val="24"/>
          <w:szCs w:val="24"/>
          <w:lang w:val="en-US" w:eastAsia="zh-CN"/>
        </w:rPr>
        <w:t>1</w:t>
      </w:r>
      <w:r>
        <w:rPr>
          <w:rFonts w:hint="eastAsia" w:ascii="宋体" w:hAnsi="宋体" w:eastAsia="宋体" w:cs="宋体"/>
          <w:sz w:val="24"/>
          <w:szCs w:val="24"/>
          <w:lang w:val="en-US" w:eastAsia="zh-CN"/>
        </w:rPr>
        <w:t>5.5</w:t>
      </w:r>
      <w:r>
        <w:rPr>
          <w:rFonts w:hint="eastAsia" w:ascii="宋体" w:hAnsi="宋体" w:eastAsia="宋体" w:cs="宋体"/>
          <w:sz w:val="24"/>
          <w:szCs w:val="24"/>
        </w:rPr>
        <w:t>学分，任选课修满</w:t>
      </w:r>
      <w:r>
        <w:rPr>
          <w:rFonts w:ascii="宋体" w:hAnsi="宋体" w:eastAsia="宋体" w:cs="宋体"/>
          <w:sz w:val="24"/>
          <w:szCs w:val="24"/>
        </w:rPr>
        <w:t>20</w:t>
      </w:r>
      <w:r>
        <w:rPr>
          <w:rFonts w:hint="eastAsia" w:ascii="宋体" w:hAnsi="宋体" w:eastAsia="宋体" w:cs="宋体"/>
          <w:sz w:val="24"/>
          <w:szCs w:val="24"/>
        </w:rPr>
        <w:t>学分，通过毕业实习、综合考试（包括基础课综合考试、专业课综合考试和毕业综合考试）和社会实践，总学分达</w:t>
      </w:r>
      <w:r>
        <w:rPr>
          <w:rFonts w:hint="eastAsia" w:ascii="宋体" w:hAnsi="宋体" w:eastAsia="宋体" w:cs="宋体"/>
          <w:sz w:val="24"/>
          <w:szCs w:val="24"/>
          <w:lang w:val="en-US" w:eastAsia="zh-CN"/>
        </w:rPr>
        <w:t>2</w:t>
      </w:r>
      <w:r>
        <w:rPr>
          <w:rFonts w:hint="eastAsia" w:cs="宋体"/>
          <w:sz w:val="24"/>
          <w:szCs w:val="24"/>
          <w:lang w:val="en-US" w:eastAsia="zh-CN"/>
        </w:rPr>
        <w:t>54.5</w:t>
      </w:r>
      <w:r>
        <w:rPr>
          <w:rFonts w:hint="eastAsia" w:ascii="宋体" w:hAnsi="宋体" w:eastAsia="宋体" w:cs="宋体"/>
          <w:sz w:val="24"/>
          <w:szCs w:val="24"/>
        </w:rPr>
        <w:t>学分以上，符合《广西医科大学学生学籍管理规定》中的毕业条件的准予毕业，符合《广西医科大学授予学士学位工作细则》学士学位条件的授予医学学士学位。</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八、</w:t>
      </w:r>
      <w:r>
        <w:rPr>
          <w:rStyle w:val="12"/>
          <w:rFonts w:hint="eastAsia" w:ascii="Times New Roman" w:hAnsi="Times New Roman" w:cs="Times New Roman"/>
          <w:color w:val="auto"/>
          <w:kern w:val="0"/>
        </w:rPr>
        <w:t>毕业</w:t>
      </w:r>
      <w:r>
        <w:rPr>
          <w:rFonts w:hint="eastAsia" w:ascii="宋体" w:hAnsi="宋体" w:eastAsia="宋体" w:cs="宋体"/>
          <w:b/>
          <w:bCs/>
          <w:sz w:val="24"/>
          <w:szCs w:val="24"/>
        </w:rPr>
        <w:t>去向</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五年制法医学专业毕业生为能从事法医学检案实践的、合格的初级法医师，将人文、信息、计算机、基础医学、临床医学知识与法医学知识相结合，具有良好素质，可到公安局、检察院、</w:t>
      </w:r>
      <w:r>
        <w:rPr>
          <w:rFonts w:hint="eastAsia" w:ascii="宋体" w:hAnsi="宋体" w:eastAsia="宋体" w:cs="宋体"/>
          <w:sz w:val="24"/>
          <w:szCs w:val="24"/>
          <w:lang w:eastAsia="zh-CN"/>
        </w:rPr>
        <w:t>法院、</w:t>
      </w:r>
      <w:r>
        <w:rPr>
          <w:rFonts w:hint="eastAsia" w:ascii="宋体" w:hAnsi="宋体" w:eastAsia="宋体" w:cs="宋体"/>
          <w:sz w:val="24"/>
          <w:szCs w:val="24"/>
        </w:rPr>
        <w:t>法医</w:t>
      </w:r>
      <w:r>
        <w:rPr>
          <w:rFonts w:hint="eastAsia" w:ascii="宋体" w:hAnsi="宋体" w:eastAsia="宋体" w:cs="宋体"/>
          <w:sz w:val="24"/>
          <w:szCs w:val="24"/>
          <w:lang w:eastAsia="zh-CN"/>
        </w:rPr>
        <w:t>司法</w:t>
      </w:r>
      <w:r>
        <w:rPr>
          <w:rFonts w:hint="eastAsia" w:ascii="宋体" w:hAnsi="宋体" w:eastAsia="宋体" w:cs="宋体"/>
          <w:sz w:val="24"/>
          <w:szCs w:val="24"/>
        </w:rPr>
        <w:t>鉴定中心</w:t>
      </w:r>
      <w:r>
        <w:rPr>
          <w:rFonts w:hint="eastAsia" w:ascii="宋体" w:hAnsi="宋体" w:eastAsia="宋体" w:cs="宋体"/>
          <w:sz w:val="24"/>
          <w:szCs w:val="24"/>
          <w:lang w:eastAsia="zh-CN"/>
        </w:rPr>
        <w:t>（所）</w:t>
      </w:r>
      <w:r>
        <w:rPr>
          <w:rFonts w:hint="eastAsia" w:ascii="宋体" w:hAnsi="宋体" w:eastAsia="宋体" w:cs="宋体"/>
          <w:sz w:val="24"/>
          <w:szCs w:val="24"/>
        </w:rPr>
        <w:t>、</w:t>
      </w:r>
      <w:r>
        <w:rPr>
          <w:rFonts w:hint="eastAsia" w:ascii="宋体" w:hAnsi="宋体" w:eastAsia="宋体" w:cs="宋体"/>
          <w:sz w:val="24"/>
          <w:szCs w:val="24"/>
          <w:lang w:eastAsia="zh-CN"/>
        </w:rPr>
        <w:t>保险公司、</w:t>
      </w:r>
      <w:r>
        <w:rPr>
          <w:rFonts w:hint="eastAsia" w:ascii="宋体" w:hAnsi="宋体" w:eastAsia="宋体" w:cs="宋体"/>
          <w:sz w:val="24"/>
          <w:szCs w:val="24"/>
        </w:rPr>
        <w:t>医学研究</w:t>
      </w:r>
      <w:r>
        <w:rPr>
          <w:rFonts w:hint="eastAsia" w:ascii="宋体" w:hAnsi="宋体" w:eastAsia="宋体" w:cs="宋体"/>
          <w:sz w:val="24"/>
          <w:szCs w:val="24"/>
          <w:lang w:eastAsia="zh-CN"/>
        </w:rPr>
        <w:t>及</w:t>
      </w:r>
      <w:r>
        <w:rPr>
          <w:rFonts w:hint="eastAsia" w:ascii="宋体" w:hAnsi="宋体" w:eastAsia="宋体" w:cs="宋体"/>
          <w:sz w:val="24"/>
          <w:szCs w:val="24"/>
        </w:rPr>
        <w:t>教育等部门从事法医</w:t>
      </w:r>
      <w:r>
        <w:rPr>
          <w:rFonts w:hint="eastAsia" w:ascii="宋体" w:hAnsi="宋体" w:eastAsia="宋体" w:cs="宋体"/>
          <w:sz w:val="24"/>
          <w:szCs w:val="24"/>
          <w:lang w:eastAsia="zh-CN"/>
        </w:rPr>
        <w:t>鉴定</w:t>
      </w:r>
      <w:r>
        <w:rPr>
          <w:rFonts w:hint="eastAsia" w:ascii="宋体" w:hAnsi="宋体" w:eastAsia="宋体" w:cs="宋体"/>
          <w:sz w:val="24"/>
          <w:szCs w:val="24"/>
        </w:rPr>
        <w:t>、科研、教学</w:t>
      </w:r>
      <w:r>
        <w:rPr>
          <w:rFonts w:hint="eastAsia" w:ascii="宋体" w:hAnsi="宋体" w:eastAsia="宋体" w:cs="宋体"/>
          <w:sz w:val="24"/>
          <w:szCs w:val="24"/>
          <w:lang w:eastAsia="zh-CN"/>
        </w:rPr>
        <w:t>等</w:t>
      </w:r>
      <w:r>
        <w:rPr>
          <w:rFonts w:hint="eastAsia" w:ascii="宋体" w:hAnsi="宋体" w:eastAsia="宋体" w:cs="宋体"/>
          <w:sz w:val="24"/>
          <w:szCs w:val="24"/>
        </w:rPr>
        <w:t>工作。</w:t>
      </w: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九、教学进程</w:t>
      </w:r>
      <w:bookmarkStart w:id="0" w:name="_五年制临床医学专业（教改班）人才培养方案"/>
      <w:bookmarkEnd w:id="0"/>
    </w:p>
    <w:p>
      <w:pPr>
        <w:pageBreakBefore w:val="0"/>
        <w:kinsoku/>
        <w:wordWrap/>
        <w:overflowPunct/>
        <w:topLinePunct w:val="0"/>
        <w:autoSpaceDE/>
        <w:autoSpaceDN/>
        <w:bidi w:val="0"/>
        <w:spacing w:after="0" w:line="276" w:lineRule="auto"/>
        <w:textAlignment w:val="auto"/>
        <w:rPr>
          <w:rFonts w:hint="eastAsia" w:ascii="宋体" w:hAnsi="宋体" w:eastAsia="宋体" w:cs="宋体"/>
          <w:sz w:val="24"/>
          <w:szCs w:val="24"/>
        </w:rPr>
      </w:pPr>
    </w:p>
    <w:p>
      <w:pPr>
        <w:pStyle w:val="8"/>
        <w:pageBreakBefore w:val="0"/>
        <w:widowControl/>
        <w:kinsoku/>
        <w:wordWrap/>
        <w:overflowPunct/>
        <w:topLinePunct w:val="0"/>
        <w:autoSpaceDE/>
        <w:autoSpaceDN/>
        <w:bidi w:val="0"/>
        <w:adjustRightInd/>
        <w:snapToGrid/>
        <w:spacing w:before="0" w:beforeAutospacing="0" w:after="0" w:afterAutospacing="0" w:line="276" w:lineRule="auto"/>
        <w:ind w:firstLine="482" w:firstLineChars="200"/>
        <w:jc w:val="left"/>
        <w:textAlignment w:val="auto"/>
        <w:rPr>
          <w:rFonts w:hint="eastAsia" w:ascii="宋体" w:hAnsi="宋体" w:eastAsia="宋体" w:cs="宋体"/>
          <w:sz w:val="24"/>
          <w:szCs w:val="24"/>
          <w:lang w:val="en-US" w:eastAsia="zh-CN"/>
        </w:rPr>
        <w:sectPr>
          <w:pgSz w:w="11906" w:h="16838"/>
          <w:pgMar w:top="1440" w:right="1800" w:bottom="1440" w:left="1800" w:header="708" w:footer="708" w:gutter="0"/>
          <w:cols w:space="708" w:num="1"/>
          <w:docGrid w:type="lines" w:linePitch="360" w:charSpace="0"/>
        </w:sectPr>
      </w:pPr>
      <w:r>
        <w:rPr>
          <w:rFonts w:hint="eastAsia" w:ascii="宋体" w:hAnsi="宋体" w:eastAsia="宋体" w:cs="宋体"/>
          <w:b/>
          <w:bCs/>
          <w:sz w:val="24"/>
          <w:szCs w:val="24"/>
          <w:lang w:val="en-US" w:eastAsia="zh-CN" w:bidi="ar-SA"/>
        </w:rPr>
        <w:t>十、</w:t>
      </w:r>
      <w:r>
        <w:rPr>
          <w:rFonts w:hint="eastAsia" w:cs="宋体"/>
          <w:b/>
          <w:bCs/>
          <w:sz w:val="24"/>
          <w:szCs w:val="24"/>
          <w:lang w:val="en-US" w:eastAsia="zh-CN" w:bidi="ar-SA"/>
        </w:rPr>
        <w:t>五年制法医学</w:t>
      </w:r>
      <w:r>
        <w:rPr>
          <w:rFonts w:hint="eastAsia" w:ascii="宋体" w:hAnsi="宋体" w:eastAsia="宋体" w:cs="宋体"/>
          <w:b/>
          <w:bCs/>
          <w:i w:val="0"/>
          <w:iCs w:val="0"/>
          <w:color w:val="000000"/>
          <w:kern w:val="0"/>
          <w:sz w:val="24"/>
          <w:szCs w:val="24"/>
          <w:u w:val="none"/>
          <w:lang w:val="en-US" w:eastAsia="zh-CN" w:bidi="ar"/>
        </w:rPr>
        <w:t>专业课程体系对培养要求指标点支撑矩阵图</w:t>
      </w:r>
    </w:p>
    <w:tbl>
      <w:tblPr>
        <w:tblStyle w:val="10"/>
        <w:tblpPr w:leftFromText="180" w:rightFromText="180" w:vertAnchor="text" w:horzAnchor="page" w:tblpXSpec="center" w:tblpY="192"/>
        <w:tblOverlap w:val="never"/>
        <w:tblW w:w="15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7"/>
        <w:gridCol w:w="375"/>
        <w:gridCol w:w="405"/>
        <w:gridCol w:w="2596"/>
        <w:gridCol w:w="338"/>
        <w:gridCol w:w="338"/>
        <w:gridCol w:w="338"/>
        <w:gridCol w:w="338"/>
        <w:gridCol w:w="338"/>
        <w:gridCol w:w="338"/>
        <w:gridCol w:w="338"/>
        <w:gridCol w:w="338"/>
        <w:gridCol w:w="338"/>
        <w:gridCol w:w="398"/>
        <w:gridCol w:w="398"/>
        <w:gridCol w:w="431"/>
        <w:gridCol w:w="338"/>
        <w:gridCol w:w="338"/>
        <w:gridCol w:w="338"/>
        <w:gridCol w:w="338"/>
        <w:gridCol w:w="338"/>
        <w:gridCol w:w="338"/>
        <w:gridCol w:w="338"/>
        <w:gridCol w:w="338"/>
        <w:gridCol w:w="338"/>
        <w:gridCol w:w="398"/>
        <w:gridCol w:w="398"/>
        <w:gridCol w:w="431"/>
        <w:gridCol w:w="338"/>
        <w:gridCol w:w="338"/>
        <w:gridCol w:w="338"/>
        <w:gridCol w:w="338"/>
        <w:gridCol w:w="338"/>
        <w:gridCol w:w="338"/>
        <w:gridCol w:w="338"/>
        <w:gridCol w:w="338"/>
        <w:gridCol w:w="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5317" w:type="dxa"/>
            <w:gridSpan w:val="37"/>
            <w:tcBorders>
              <w:top w:val="nil"/>
              <w:left w:val="nil"/>
              <w:bottom w:val="single" w:color="auto" w:sz="4" w:space="0"/>
              <w:right w:val="nil"/>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cs="宋体"/>
                <w:b/>
                <w:bCs/>
                <w:sz w:val="24"/>
                <w:szCs w:val="24"/>
                <w:lang w:val="en-US" w:eastAsia="zh-CN" w:bidi="ar-SA"/>
              </w:rPr>
              <w:t>五年制法医学</w:t>
            </w:r>
            <w:r>
              <w:rPr>
                <w:rFonts w:hint="eastAsia" w:ascii="宋体" w:hAnsi="宋体" w:eastAsia="宋体" w:cs="宋体"/>
                <w:b/>
                <w:bCs/>
                <w:i w:val="0"/>
                <w:iCs w:val="0"/>
                <w:color w:val="000000"/>
                <w:kern w:val="0"/>
                <w:sz w:val="24"/>
                <w:szCs w:val="24"/>
                <w:u w:val="none"/>
                <w:lang w:val="en-US" w:eastAsia="zh-CN" w:bidi="ar"/>
              </w:rPr>
              <w:t>专业课程体系对培养要求指标点支撑矩阵图</w:t>
            </w:r>
            <w:bookmarkStart w:id="1" w:name="_GoBack"/>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1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课程模块</w:t>
            </w:r>
          </w:p>
        </w:tc>
        <w:tc>
          <w:tcPr>
            <w:tcW w:w="405"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2596"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4269" w:type="dxa"/>
            <w:gridSpan w:val="1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思想道德与职业素质目标</w:t>
            </w:r>
          </w:p>
        </w:tc>
        <w:tc>
          <w:tcPr>
            <w:tcW w:w="4269" w:type="dxa"/>
            <w:gridSpan w:val="1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知识要求</w:t>
            </w:r>
          </w:p>
        </w:tc>
        <w:tc>
          <w:tcPr>
            <w:tcW w:w="3066" w:type="dxa"/>
            <w:gridSpan w:val="9"/>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jc w:val="center"/>
        </w:trPr>
        <w:tc>
          <w:tcPr>
            <w:tcW w:w="71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jc w:val="both"/>
              <w:rPr>
                <w:rFonts w:hint="eastAsia" w:ascii="宋体" w:hAnsi="宋体" w:eastAsia="宋体" w:cs="宋体"/>
                <w:i w:val="0"/>
                <w:iCs w:val="0"/>
                <w:color w:val="000000"/>
                <w:sz w:val="18"/>
                <w:szCs w:val="18"/>
                <w:u w:val="none"/>
              </w:rPr>
            </w:pP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39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39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43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39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9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43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33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362"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restart"/>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基础阶段必修课程</w:t>
            </w:r>
          </w:p>
        </w:tc>
        <w:tc>
          <w:tcPr>
            <w:tcW w:w="375" w:type="dxa"/>
            <w:vMerge w:val="restart"/>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思想修养 ． 人文素质 ．  行为科学</w:t>
            </w:r>
          </w:p>
        </w:tc>
        <w:tc>
          <w:tcPr>
            <w:tcW w:w="405"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96" w:type="dxa"/>
            <w:tcBorders>
              <w:top w:val="single" w:color="auto"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军事理论</w:t>
            </w: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auto"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auto"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大学生安全教育</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创业基础</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大学生职业发展与就业指导</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中国近现代史纲要</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马克思主义基本原理</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医学伦理学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卫生法学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医学心理学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医患沟通学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人文社会科学、素质教育通识课程</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细胞生物学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组织学与胚胎学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系统解剖学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生物化学与分子生物学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医学免疫学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医学微生物学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医学遗传学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机能实验学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病理生理学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人体寄生虫学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局部解剖学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医用物理学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基础化学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高等数学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公共卫生与科研方法</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预防医学(含医学统计学)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流行病学与循证医学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医学信息检索与利用</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专业阶段课程</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临床及法医学课程</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法医学概论</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诊断学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外科学总论(含麻醉学)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法医法学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法医物证学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法医精神病学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法医毒物分析</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妇产科学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刑事科学技术</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法医毒理学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法医病理学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法医临床学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法医综合技能培训</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精神病学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耳鼻咽喉科学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传染病学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神经病学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皮肤性病学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337"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急诊医学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任选课</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医学史</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医学社会学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神经生物学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生物物理学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生物信息学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卫生事业管理学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老龄化与全球健康</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健康教育与健康促进</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59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妇幼与儿少卫生学</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c>
          <w:tcPr>
            <w:tcW w:w="36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18"/>
                <w:szCs w:val="18"/>
                <w:u w:val="none"/>
              </w:rPr>
            </w:pPr>
          </w:p>
        </w:tc>
      </w:tr>
    </w:tbl>
    <w:p>
      <w:pPr>
        <w:pageBreakBefore w:val="0"/>
        <w:kinsoku/>
        <w:wordWrap/>
        <w:overflowPunct/>
        <w:topLinePunct w:val="0"/>
        <w:autoSpaceDE/>
        <w:autoSpaceDN/>
        <w:bidi w:val="0"/>
        <w:spacing w:after="0" w:line="276" w:lineRule="auto"/>
        <w:textAlignment w:val="auto"/>
        <w:rPr>
          <w:rFonts w:hint="eastAsia" w:ascii="宋体" w:hAnsi="宋体" w:eastAsia="宋体" w:cs="宋体"/>
          <w:sz w:val="24"/>
          <w:szCs w:val="24"/>
        </w:rPr>
      </w:pPr>
    </w:p>
    <w:sectPr>
      <w:pgSz w:w="16838" w:h="11906" w:orient="landscape"/>
      <w:pgMar w:top="567" w:right="567" w:bottom="567" w:left="56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AE6BFB"/>
    <w:multiLevelType w:val="singleLevel"/>
    <w:tmpl w:val="C7AE6BFB"/>
    <w:lvl w:ilvl="0" w:tentative="0">
      <w:start w:val="4"/>
      <w:numFmt w:val="chineseCounting"/>
      <w:suff w:val="nothing"/>
      <w:lvlText w:val="（%1）"/>
      <w:lvlJc w:val="left"/>
      <w:rPr>
        <w:rFonts w:hint="eastAsia"/>
      </w:rPr>
    </w:lvl>
  </w:abstractNum>
  <w:abstractNum w:abstractNumId="1">
    <w:nsid w:val="1CB32EDC"/>
    <w:multiLevelType w:val="multilevel"/>
    <w:tmpl w:val="1CB32EDC"/>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3CC514CA"/>
    <w:multiLevelType w:val="multilevel"/>
    <w:tmpl w:val="3CC514CA"/>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7FC04F58"/>
    <w:multiLevelType w:val="multilevel"/>
    <w:tmpl w:val="7FC04F58"/>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720"/>
  <w:doNotHyphenateCaps/>
  <w:characterSpacingControl w:val="doNotCompress"/>
  <w:noLineBreaksAfter w:lang="zh-CN" w:val="$([{£¥·‘“〈《「『【〔〖〝﹙﹛﹝＄（．［｛￡￥"/>
  <w:noLineBreaksBefore w:lang="zh-CN" w:val="!%),.:;&gt;?]}¢¨°·ˇˉ―‖’”…‰′″›℃∶、。〃〉》」』】〕〗〞︶︺︾﹀﹄﹚﹜﹞！＂％＇），．：；？］｀｜｝～￠"/>
  <w:doNotValidateAgainstSchema/>
  <w:doNotDemarcateInvalidXml/>
  <w:footnotePr>
    <w:footnote w:id="0"/>
    <w:footnote w:id="1"/>
  </w:foot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AzYjMxM2NiY2U5ODc2MjQ0MDIzZjgwYjA4MDY1ZDkifQ=="/>
  </w:docVars>
  <w:rsids>
    <w:rsidRoot w:val="00D31D50"/>
    <w:rsid w:val="0001451F"/>
    <w:rsid w:val="00014D2E"/>
    <w:rsid w:val="000D5BA5"/>
    <w:rsid w:val="001377E1"/>
    <w:rsid w:val="00137CB9"/>
    <w:rsid w:val="00170A9B"/>
    <w:rsid w:val="001A16CE"/>
    <w:rsid w:val="001C2EBD"/>
    <w:rsid w:val="001D3B05"/>
    <w:rsid w:val="001D5F0F"/>
    <w:rsid w:val="001D73E2"/>
    <w:rsid w:val="001F519A"/>
    <w:rsid w:val="002169A3"/>
    <w:rsid w:val="0028473B"/>
    <w:rsid w:val="002D5B30"/>
    <w:rsid w:val="002D6AFB"/>
    <w:rsid w:val="00306EE7"/>
    <w:rsid w:val="00323B43"/>
    <w:rsid w:val="00324218"/>
    <w:rsid w:val="003715E4"/>
    <w:rsid w:val="003A5683"/>
    <w:rsid w:val="003B15B9"/>
    <w:rsid w:val="003B724D"/>
    <w:rsid w:val="003D1502"/>
    <w:rsid w:val="003D2761"/>
    <w:rsid w:val="003D37D8"/>
    <w:rsid w:val="003D4AFB"/>
    <w:rsid w:val="00401566"/>
    <w:rsid w:val="0040631C"/>
    <w:rsid w:val="00426133"/>
    <w:rsid w:val="00434BB6"/>
    <w:rsid w:val="004358AB"/>
    <w:rsid w:val="00442178"/>
    <w:rsid w:val="004503A3"/>
    <w:rsid w:val="004615FF"/>
    <w:rsid w:val="004824CA"/>
    <w:rsid w:val="004B459C"/>
    <w:rsid w:val="004E3428"/>
    <w:rsid w:val="004E35BC"/>
    <w:rsid w:val="004F31E9"/>
    <w:rsid w:val="00552658"/>
    <w:rsid w:val="00596CC7"/>
    <w:rsid w:val="005A1FD1"/>
    <w:rsid w:val="00632E21"/>
    <w:rsid w:val="006500A2"/>
    <w:rsid w:val="006842C5"/>
    <w:rsid w:val="00696633"/>
    <w:rsid w:val="00696F80"/>
    <w:rsid w:val="0072646D"/>
    <w:rsid w:val="00811663"/>
    <w:rsid w:val="00815055"/>
    <w:rsid w:val="00834544"/>
    <w:rsid w:val="0083721C"/>
    <w:rsid w:val="00841B37"/>
    <w:rsid w:val="00871408"/>
    <w:rsid w:val="008816E5"/>
    <w:rsid w:val="00890350"/>
    <w:rsid w:val="00892702"/>
    <w:rsid w:val="008B0431"/>
    <w:rsid w:val="008B7726"/>
    <w:rsid w:val="008C7098"/>
    <w:rsid w:val="00912EAF"/>
    <w:rsid w:val="009E68E4"/>
    <w:rsid w:val="00A1039C"/>
    <w:rsid w:val="00A11901"/>
    <w:rsid w:val="00A20437"/>
    <w:rsid w:val="00A43F79"/>
    <w:rsid w:val="00A55D80"/>
    <w:rsid w:val="00A616C7"/>
    <w:rsid w:val="00AA2CBA"/>
    <w:rsid w:val="00AA7F55"/>
    <w:rsid w:val="00AB7E8F"/>
    <w:rsid w:val="00AE0521"/>
    <w:rsid w:val="00B36CCC"/>
    <w:rsid w:val="00B74D5C"/>
    <w:rsid w:val="00BC61BA"/>
    <w:rsid w:val="00BE65C3"/>
    <w:rsid w:val="00C0285E"/>
    <w:rsid w:val="00C2541C"/>
    <w:rsid w:val="00C32D82"/>
    <w:rsid w:val="00C355D0"/>
    <w:rsid w:val="00C937D3"/>
    <w:rsid w:val="00CF13CD"/>
    <w:rsid w:val="00D21F13"/>
    <w:rsid w:val="00D277C0"/>
    <w:rsid w:val="00D31D50"/>
    <w:rsid w:val="00D509C3"/>
    <w:rsid w:val="00D77A73"/>
    <w:rsid w:val="00DB3749"/>
    <w:rsid w:val="00DE4D83"/>
    <w:rsid w:val="00E21C69"/>
    <w:rsid w:val="00E34796"/>
    <w:rsid w:val="00E858D5"/>
    <w:rsid w:val="00E964CD"/>
    <w:rsid w:val="00F7726E"/>
    <w:rsid w:val="00FA4801"/>
    <w:rsid w:val="00FA5FB3"/>
    <w:rsid w:val="00FF14F6"/>
    <w:rsid w:val="01842D58"/>
    <w:rsid w:val="01A7065E"/>
    <w:rsid w:val="01F46BB8"/>
    <w:rsid w:val="05F07B1C"/>
    <w:rsid w:val="06390E00"/>
    <w:rsid w:val="06BE3A46"/>
    <w:rsid w:val="07111939"/>
    <w:rsid w:val="0CC3251C"/>
    <w:rsid w:val="0D74028F"/>
    <w:rsid w:val="0EF80318"/>
    <w:rsid w:val="0F6D64A2"/>
    <w:rsid w:val="10101E6B"/>
    <w:rsid w:val="16584D65"/>
    <w:rsid w:val="182E61B8"/>
    <w:rsid w:val="1AF23DB2"/>
    <w:rsid w:val="218D0A8A"/>
    <w:rsid w:val="24830E1F"/>
    <w:rsid w:val="26725EF6"/>
    <w:rsid w:val="28250EDF"/>
    <w:rsid w:val="2879521A"/>
    <w:rsid w:val="2B497F03"/>
    <w:rsid w:val="2C532973"/>
    <w:rsid w:val="325F064B"/>
    <w:rsid w:val="327F6A54"/>
    <w:rsid w:val="328E7A7F"/>
    <w:rsid w:val="37463435"/>
    <w:rsid w:val="3B7766F4"/>
    <w:rsid w:val="3BCB411B"/>
    <w:rsid w:val="3C2814CB"/>
    <w:rsid w:val="3C6825C1"/>
    <w:rsid w:val="3CF96461"/>
    <w:rsid w:val="3E13270C"/>
    <w:rsid w:val="3F715893"/>
    <w:rsid w:val="432B3B11"/>
    <w:rsid w:val="45E62A32"/>
    <w:rsid w:val="46BE2D57"/>
    <w:rsid w:val="49F95267"/>
    <w:rsid w:val="4CB375EE"/>
    <w:rsid w:val="4D1F5881"/>
    <w:rsid w:val="4EFD45DD"/>
    <w:rsid w:val="518C1F0A"/>
    <w:rsid w:val="52084DA8"/>
    <w:rsid w:val="52554EC1"/>
    <w:rsid w:val="553779BD"/>
    <w:rsid w:val="56DC71A4"/>
    <w:rsid w:val="59EE0E55"/>
    <w:rsid w:val="5CDA5F34"/>
    <w:rsid w:val="5D3E2967"/>
    <w:rsid w:val="60966616"/>
    <w:rsid w:val="634A0FBE"/>
    <w:rsid w:val="64B6784F"/>
    <w:rsid w:val="6984404A"/>
    <w:rsid w:val="6C9E5CBC"/>
    <w:rsid w:val="721D5B41"/>
    <w:rsid w:val="722B5FB5"/>
    <w:rsid w:val="77832DCA"/>
    <w:rsid w:val="7971753A"/>
    <w:rsid w:val="798F6230"/>
    <w:rsid w:val="7A01092D"/>
    <w:rsid w:val="7A081167"/>
    <w:rsid w:val="7AF3471D"/>
    <w:rsid w:val="7D0C04F8"/>
    <w:rsid w:val="7F0176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sz w:val="22"/>
      <w:szCs w:val="22"/>
      <w:lang w:val="en-US" w:eastAsia="zh-CN" w:bidi="ar-SA"/>
    </w:rPr>
  </w:style>
  <w:style w:type="paragraph" w:styleId="2">
    <w:name w:val="heading 2"/>
    <w:basedOn w:val="1"/>
    <w:next w:val="1"/>
    <w:link w:val="13"/>
    <w:qFormat/>
    <w:uiPriority w:val="99"/>
    <w:pPr>
      <w:keepNext/>
      <w:keepLines/>
      <w:widowControl w:val="0"/>
      <w:adjustRightInd/>
      <w:snapToGrid/>
      <w:spacing w:before="100" w:beforeAutospacing="1" w:after="0" w:line="408" w:lineRule="auto"/>
      <w:jc w:val="both"/>
      <w:outlineLvl w:val="1"/>
    </w:pPr>
    <w:rPr>
      <w:rFonts w:ascii="Arial" w:hAnsi="Arial" w:eastAsia="黑体" w:cs="Arial"/>
      <w:b/>
      <w:bCs/>
      <w:kern w:val="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99"/>
    <w:pPr>
      <w:widowControl w:val="0"/>
      <w:adjustRightInd/>
      <w:snapToGrid/>
      <w:spacing w:after="120"/>
      <w:jc w:val="both"/>
    </w:pPr>
    <w:rPr>
      <w:rFonts w:ascii="Calibri" w:hAnsi="Calibri" w:eastAsia="宋体" w:cs="Calibri"/>
      <w:kern w:val="2"/>
      <w:sz w:val="24"/>
      <w:szCs w:val="24"/>
    </w:rPr>
  </w:style>
  <w:style w:type="paragraph" w:styleId="4">
    <w:name w:val="Body Text Indent 2"/>
    <w:basedOn w:val="1"/>
    <w:link w:val="16"/>
    <w:qFormat/>
    <w:uiPriority w:val="99"/>
    <w:pPr>
      <w:widowControl w:val="0"/>
      <w:adjustRightInd/>
      <w:snapToGrid/>
      <w:spacing w:after="120" w:line="480" w:lineRule="auto"/>
      <w:ind w:left="420" w:leftChars="200"/>
      <w:jc w:val="both"/>
    </w:pPr>
    <w:rPr>
      <w:rFonts w:ascii="Calibri" w:hAnsi="Calibri" w:eastAsia="宋体" w:cs="Calibri"/>
      <w:kern w:val="2"/>
      <w:sz w:val="24"/>
      <w:szCs w:val="24"/>
    </w:rPr>
  </w:style>
  <w:style w:type="paragraph" w:styleId="5">
    <w:name w:val="Balloon Text"/>
    <w:basedOn w:val="1"/>
    <w:link w:val="19"/>
    <w:semiHidden/>
    <w:unhideWhenUsed/>
    <w:qFormat/>
    <w:uiPriority w:val="99"/>
    <w:pPr>
      <w:spacing w:after="0"/>
    </w:pPr>
    <w:rPr>
      <w:sz w:val="18"/>
      <w:szCs w:val="18"/>
    </w:rPr>
  </w:style>
  <w:style w:type="paragraph" w:styleId="6">
    <w:name w:val="footer"/>
    <w:basedOn w:val="1"/>
    <w:link w:val="17"/>
    <w:semiHidden/>
    <w:qFormat/>
    <w:uiPriority w:val="99"/>
    <w:pPr>
      <w:tabs>
        <w:tab w:val="center" w:pos="4153"/>
        <w:tab w:val="right" w:pos="8306"/>
      </w:tabs>
    </w:pPr>
    <w:rPr>
      <w:sz w:val="18"/>
      <w:szCs w:val="18"/>
    </w:rPr>
  </w:style>
  <w:style w:type="paragraph" w:styleId="7">
    <w:name w:val="header"/>
    <w:basedOn w:val="1"/>
    <w:link w:val="18"/>
    <w:semiHidden/>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w:basedOn w:val="3"/>
    <w:link w:val="15"/>
    <w:qFormat/>
    <w:uiPriority w:val="99"/>
    <w:pPr>
      <w:ind w:firstLine="420" w:firstLineChars="100"/>
    </w:pPr>
  </w:style>
  <w:style w:type="character" w:styleId="12">
    <w:name w:val="Strong"/>
    <w:qFormat/>
    <w:uiPriority w:val="99"/>
    <w:rPr>
      <w:b/>
      <w:bCs/>
    </w:rPr>
  </w:style>
  <w:style w:type="character" w:customStyle="1" w:styleId="13">
    <w:name w:val="标题 2 字符"/>
    <w:link w:val="2"/>
    <w:qFormat/>
    <w:locked/>
    <w:uiPriority w:val="99"/>
    <w:rPr>
      <w:rFonts w:ascii="Arial" w:hAnsi="Arial" w:eastAsia="黑体" w:cs="Arial"/>
      <w:b/>
      <w:bCs/>
      <w:kern w:val="2"/>
      <w:sz w:val="32"/>
      <w:szCs w:val="32"/>
    </w:rPr>
  </w:style>
  <w:style w:type="character" w:customStyle="1" w:styleId="14">
    <w:name w:val="正文文本 字符"/>
    <w:link w:val="3"/>
    <w:qFormat/>
    <w:locked/>
    <w:uiPriority w:val="99"/>
    <w:rPr>
      <w:rFonts w:ascii="Calibri" w:hAnsi="Calibri" w:eastAsia="宋体" w:cs="Calibri"/>
      <w:kern w:val="2"/>
      <w:sz w:val="24"/>
      <w:szCs w:val="24"/>
    </w:rPr>
  </w:style>
  <w:style w:type="character" w:customStyle="1" w:styleId="15">
    <w:name w:val="正文文本首行缩进 字符"/>
    <w:link w:val="9"/>
    <w:qFormat/>
    <w:locked/>
    <w:uiPriority w:val="99"/>
    <w:rPr>
      <w:rFonts w:ascii="Calibri" w:hAnsi="Calibri" w:eastAsia="宋体" w:cs="Calibri"/>
      <w:kern w:val="2"/>
      <w:sz w:val="24"/>
      <w:szCs w:val="24"/>
    </w:rPr>
  </w:style>
  <w:style w:type="character" w:customStyle="1" w:styleId="16">
    <w:name w:val="正文文本缩进 2 字符"/>
    <w:link w:val="4"/>
    <w:qFormat/>
    <w:locked/>
    <w:uiPriority w:val="99"/>
    <w:rPr>
      <w:rFonts w:ascii="Calibri" w:hAnsi="Calibri" w:eastAsia="宋体" w:cs="Calibri"/>
      <w:kern w:val="2"/>
      <w:sz w:val="24"/>
      <w:szCs w:val="24"/>
    </w:rPr>
  </w:style>
  <w:style w:type="character" w:customStyle="1" w:styleId="17">
    <w:name w:val="页脚 字符"/>
    <w:link w:val="6"/>
    <w:semiHidden/>
    <w:qFormat/>
    <w:locked/>
    <w:uiPriority w:val="99"/>
    <w:rPr>
      <w:rFonts w:ascii="Tahoma" w:hAnsi="Tahoma" w:cs="Tahoma"/>
      <w:sz w:val="18"/>
      <w:szCs w:val="18"/>
    </w:rPr>
  </w:style>
  <w:style w:type="character" w:customStyle="1" w:styleId="18">
    <w:name w:val="页眉 字符"/>
    <w:link w:val="7"/>
    <w:semiHidden/>
    <w:qFormat/>
    <w:locked/>
    <w:uiPriority w:val="99"/>
    <w:rPr>
      <w:rFonts w:ascii="Tahoma" w:hAnsi="Tahoma" w:cs="Tahoma"/>
      <w:sz w:val="18"/>
      <w:szCs w:val="18"/>
    </w:rPr>
  </w:style>
  <w:style w:type="character" w:customStyle="1" w:styleId="19">
    <w:name w:val="批注框文本 字符"/>
    <w:link w:val="5"/>
    <w:semiHidden/>
    <w:qFormat/>
    <w:uiPriority w:val="99"/>
    <w:rPr>
      <w:rFonts w:ascii="Tahoma" w:hAnsi="Tahoma" w:cs="Tahoma"/>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3978</Words>
  <Characters>4181</Characters>
  <Lines>19</Lines>
  <Paragraphs>5</Paragraphs>
  <TotalTime>0</TotalTime>
  <ScaleCrop>false</ScaleCrop>
  <LinksUpToDate>false</LinksUpToDate>
  <CharactersWithSpaces>4191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2019-05-31T04:50:00Z</dcterms:created>
  <dc:creator>微软用户</dc:creator>
  <cp:lastModifiedBy>六月初</cp:lastModifiedBy>
  <cp:lastPrinted>2019-06-03T00:27:00Z</cp:lastPrinted>
  <dcterms:modified xsi:type="dcterms:W3CDTF">2023-06-16T10:51:45Z</dcterms:modified>
  <dc:title>五年制法医学专业人才培养方案</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7A143304CD8A4694A455F77CFB2DF5EA</vt:lpwstr>
  </property>
</Properties>
</file>