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kinsoku/>
        <w:wordWrap/>
        <w:overflowPunct/>
        <w:topLinePunct w:val="0"/>
        <w:autoSpaceDE/>
        <w:autoSpaceDN/>
        <w:bidi w:val="0"/>
        <w:adjustRightInd/>
        <w:snapToGrid/>
        <w:spacing w:before="100" w:beforeAutospacing="1" w:line="288" w:lineRule="auto"/>
        <w:ind w:left="0" w:right="0"/>
        <w:textAlignment w:val="auto"/>
        <w:rPr>
          <w:rFonts w:ascii="Arial" w:hAnsi="Arial" w:eastAsia="黑体" w:cs="Times New Roman"/>
          <w:color w:val="auto"/>
          <w:kern w:val="2"/>
          <w:sz w:val="32"/>
          <w:szCs w:val="32"/>
          <w:lang w:val="en-US" w:bidi="ar-SA"/>
        </w:rPr>
      </w:pPr>
      <w:bookmarkStart w:id="0" w:name="_bookmark1"/>
      <w:bookmarkEnd w:id="0"/>
      <w:bookmarkStart w:id="1" w:name="_bookmark0"/>
      <w:bookmarkEnd w:id="1"/>
      <w:r>
        <w:rPr>
          <w:rFonts w:hint="eastAsia" w:ascii="Arial" w:hAnsi="Arial" w:eastAsia="黑体" w:cs="Times New Roman"/>
          <w:color w:val="auto"/>
          <w:kern w:val="2"/>
          <w:sz w:val="32"/>
          <w:szCs w:val="32"/>
          <w:lang w:val="en-US" w:bidi="ar-SA"/>
        </w:rPr>
        <w:t>临床医学专业（“5+3”一体化）人才培养方案</w:t>
      </w:r>
    </w:p>
    <w:p>
      <w:pPr>
        <w:pageBreakBefore w:val="0"/>
        <w:kinsoku/>
        <w:wordWrap/>
        <w:overflowPunct/>
        <w:topLinePunct w:val="0"/>
        <w:bidi w:val="0"/>
        <w:adjustRightInd/>
        <w:snapToGrid/>
        <w:spacing w:line="288" w:lineRule="auto"/>
        <w:textAlignment w:val="auto"/>
        <w:rPr>
          <w:color w:val="auto"/>
          <w:lang w:val="en-US"/>
        </w:rPr>
      </w:pPr>
    </w:p>
    <w:p>
      <w:pPr>
        <w:pStyle w:val="10"/>
        <w:keepNext w:val="0"/>
        <w:keepLines w:val="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szCs w:val="24"/>
          <w:lang w:val="en-US" w:bidi="ar-SA"/>
        </w:rPr>
      </w:pPr>
      <w:r>
        <w:rPr>
          <w:rStyle w:val="14"/>
          <w:rFonts w:ascii="Times New Roman" w:hAnsi="Times New Roman"/>
          <w:color w:val="auto"/>
          <w:szCs w:val="24"/>
          <w:lang w:val="en-US" w:bidi="ar-SA"/>
        </w:rPr>
        <w:t>一、培养目标</w:t>
      </w:r>
    </w:p>
    <w:p>
      <w:pPr>
        <w:pStyle w:val="6"/>
        <w:keepNext w:val="0"/>
        <w:keepLines w:val="0"/>
        <w:pageBreakBefore w:val="0"/>
        <w:kinsoku/>
        <w:wordWrap/>
        <w:overflowPunct/>
        <w:topLinePunct w:val="0"/>
        <w:bidi w:val="0"/>
        <w:adjustRightInd/>
        <w:snapToGrid/>
        <w:spacing w:before="0" w:line="288" w:lineRule="auto"/>
        <w:ind w:left="0" w:firstLine="420"/>
        <w:jc w:val="both"/>
        <w:textAlignment w:val="auto"/>
        <w:rPr>
          <w:rFonts w:cs="Times New Roman"/>
          <w:color w:val="auto"/>
          <w:kern w:val="2"/>
          <w:lang w:val="en-US" w:bidi="ar-SA"/>
        </w:rPr>
      </w:pPr>
      <w:r>
        <w:rPr>
          <w:rFonts w:hint="eastAsia" w:cs="Times New Roman"/>
          <w:color w:val="auto"/>
          <w:kern w:val="2"/>
          <w:lang w:val="en-US" w:bidi="ar-SA"/>
        </w:rPr>
        <w:t>培养具有</w:t>
      </w:r>
      <w:r>
        <w:rPr>
          <w:rFonts w:hint="eastAsia"/>
          <w:color w:val="auto"/>
          <w:lang w:val="en-US"/>
        </w:rPr>
        <w:t>正确世界观、人生观及价值观及</w:t>
      </w:r>
      <w:r>
        <w:rPr>
          <w:rFonts w:hint="eastAsia" w:cs="Times New Roman"/>
          <w:color w:val="auto"/>
          <w:kern w:val="2"/>
          <w:lang w:val="en-US" w:bidi="ar-SA"/>
        </w:rPr>
        <w:t>人文素养和专业素质，掌握扎实的医学基础理论、基本知识和基本技能，宽厚的自然科学和人文社会科学知识，</w:t>
      </w:r>
      <w:r>
        <w:rPr>
          <w:rFonts w:hint="eastAsia"/>
          <w:color w:val="auto"/>
          <w:lang w:val="en-US"/>
        </w:rPr>
        <w:t>敬佑生命，</w:t>
      </w:r>
      <w:r>
        <w:rPr>
          <w:rFonts w:hint="eastAsia" w:cs="Times New Roman"/>
          <w:color w:val="auto"/>
          <w:kern w:val="2"/>
          <w:lang w:val="en-US" w:bidi="ar-SA"/>
        </w:rPr>
        <w:t>具备较强临床分析和实践能力，良好的表达能力与医患沟通能力，以及临床研究、教学能力，具备大健康理念、国际视野、创新精神及</w:t>
      </w:r>
      <w:r>
        <w:rPr>
          <w:rFonts w:hint="eastAsia"/>
          <w:color w:val="auto"/>
        </w:rPr>
        <w:t>终身学习能力</w:t>
      </w:r>
      <w:r>
        <w:rPr>
          <w:rFonts w:hint="eastAsia" w:cs="Times New Roman"/>
          <w:color w:val="auto"/>
          <w:kern w:val="2"/>
          <w:lang w:val="en-US" w:bidi="ar-SA"/>
        </w:rPr>
        <w:t>，能承担本学科领域内的常见病、多发病诊治工作的</w:t>
      </w:r>
      <w:r>
        <w:rPr>
          <w:rFonts w:hint="eastAsia"/>
          <w:color w:val="auto"/>
          <w:lang w:val="en-US"/>
        </w:rPr>
        <w:t>德智体美劳全面发展的合格的</w:t>
      </w:r>
      <w:r>
        <w:rPr>
          <w:rFonts w:hint="eastAsia"/>
          <w:color w:val="auto"/>
        </w:rPr>
        <w:t>医学毕业生。</w:t>
      </w:r>
    </w:p>
    <w:p>
      <w:pPr>
        <w:pStyle w:val="10"/>
        <w:keepNext w:val="0"/>
        <w:keepLines w:val="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二、培养要求</w:t>
      </w:r>
    </w:p>
    <w:p>
      <w:pPr>
        <w:keepNext w:val="0"/>
        <w:keepLines w:val="0"/>
        <w:pageBreakBefore w:val="0"/>
        <w:kinsoku/>
        <w:wordWrap/>
        <w:overflowPunct/>
        <w:topLinePunct w:val="0"/>
        <w:autoSpaceDE/>
        <w:autoSpaceDN/>
        <w:bidi w:val="0"/>
        <w:adjustRightInd/>
        <w:snapToGrid/>
        <w:spacing w:line="288" w:lineRule="auto"/>
        <w:ind w:firstLine="482" w:firstLineChars="200"/>
        <w:jc w:val="both"/>
        <w:textAlignment w:val="auto"/>
        <w:rPr>
          <w:rFonts w:cs="Times New Roman"/>
          <w:b/>
          <w:bCs/>
          <w:color w:val="auto"/>
          <w:kern w:val="2"/>
          <w:sz w:val="24"/>
          <w:szCs w:val="24"/>
          <w:lang w:val="en-US" w:bidi="ar-SA"/>
        </w:rPr>
      </w:pPr>
      <w:r>
        <w:rPr>
          <w:rFonts w:hint="eastAsia" w:cs="Times New Roman"/>
          <w:b/>
          <w:bCs/>
          <w:color w:val="auto"/>
          <w:kern w:val="2"/>
          <w:sz w:val="24"/>
          <w:szCs w:val="24"/>
          <w:lang w:val="en-US" w:bidi="ar-SA"/>
        </w:rPr>
        <w:t>（一）科学和学术领域</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具备自然科学、人文社会科学、医学等学科的基础知识和掌握科学伦理及研究方法，把握事物发展规律，并能用于指导未来的学习和医学实践。</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能够始终把人民群众生命安全和健康放在首位，应用医学等科学知识依法处理个体、群体和卫生系统中的问题。</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能够描述生命各阶段疾病的病因、发病机制、自然病程、临床表现、诊断、治疗以及预后。</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能够依法获取、甄别、理解并应用医学等科学文献中的证据。</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能够掌握中国传统医学的基本特点和诊疗基本原则。</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能够正确认识问题、分析问题，具备勇于探索创新的精神</w:t>
      </w:r>
      <w:r>
        <w:rPr>
          <w:rFonts w:hint="eastAsia" w:ascii="宋体" w:hAnsi="宋体" w:cs="Times New Roman"/>
          <w:color w:val="auto"/>
          <w:kern w:val="2"/>
          <w:sz w:val="24"/>
          <w:szCs w:val="24"/>
          <w:lang w:val="en-US" w:eastAsia="zh-CN" w:bidi="ar-SA"/>
        </w:rPr>
        <w:t>，</w:t>
      </w:r>
      <w:r>
        <w:rPr>
          <w:rFonts w:hint="eastAsia" w:ascii="宋体" w:hAnsi="宋体" w:cs="Times New Roman"/>
          <w:color w:val="auto"/>
          <w:kern w:val="2"/>
          <w:sz w:val="24"/>
          <w:szCs w:val="24"/>
          <w:lang w:val="en-US" w:bidi="ar-SA"/>
        </w:rPr>
        <w:t>应用常用的科学方法探讨及解决问题。</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能够掌握临床医学科研的</w:t>
      </w:r>
      <w:r>
        <w:rPr>
          <w:rFonts w:hint="eastAsia" w:ascii="宋体" w:hAnsi="宋体" w:cs="Times New Roman"/>
          <w:color w:val="auto"/>
          <w:kern w:val="2"/>
          <w:sz w:val="24"/>
          <w:szCs w:val="24"/>
          <w:lang w:val="en-US" w:eastAsia="zh-CN" w:bidi="ar-SA"/>
        </w:rPr>
        <w:t>基本理论和基本技能，具备科研意识、科研精神、创新思维及独立科研能力</w:t>
      </w:r>
      <w:r>
        <w:rPr>
          <w:rFonts w:hint="eastAsia" w:ascii="宋体" w:hAnsi="宋体" w:cs="Times New Roman"/>
          <w:color w:val="auto"/>
          <w:kern w:val="2"/>
          <w:sz w:val="24"/>
          <w:szCs w:val="24"/>
          <w:lang w:val="en-US" w:bidi="ar-SA"/>
        </w:rPr>
        <w:t>。</w:t>
      </w:r>
    </w:p>
    <w:p>
      <w:pPr>
        <w:keepNext w:val="0"/>
        <w:keepLines w:val="0"/>
        <w:pageBreakBefore w:val="0"/>
        <w:numPr>
          <w:ilvl w:val="0"/>
          <w:numId w:val="1"/>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w:t>
      </w:r>
      <w:r>
        <w:rPr>
          <w:rFonts w:hint="eastAsia" w:ascii="宋体" w:hAnsi="宋体" w:cs="Times New Roman"/>
          <w:color w:val="auto"/>
          <w:kern w:val="2"/>
          <w:sz w:val="24"/>
          <w:szCs w:val="24"/>
          <w:lang w:val="en-US" w:eastAsia="zh-CN" w:bidi="ar-SA"/>
        </w:rPr>
        <w:t>具备</w:t>
      </w:r>
      <w:r>
        <w:rPr>
          <w:rFonts w:hint="eastAsia" w:ascii="宋体" w:hAnsi="宋体" w:cs="Times New Roman"/>
          <w:color w:val="auto"/>
          <w:kern w:val="2"/>
          <w:sz w:val="24"/>
          <w:szCs w:val="24"/>
          <w:lang w:val="en-US" w:bidi="ar-SA"/>
        </w:rPr>
        <w:t>较熟练阅读本专业外文资料的能力和较好的外语</w:t>
      </w:r>
      <w:r>
        <w:rPr>
          <w:rFonts w:hint="eastAsia" w:ascii="宋体" w:hAnsi="宋体" w:cs="Times New Roman"/>
          <w:color w:val="auto"/>
          <w:kern w:val="2"/>
          <w:sz w:val="24"/>
          <w:szCs w:val="24"/>
          <w:lang w:val="en-US" w:eastAsia="zh-CN" w:bidi="ar-SA"/>
        </w:rPr>
        <w:t>沟通</w:t>
      </w:r>
      <w:r>
        <w:rPr>
          <w:rFonts w:hint="eastAsia" w:ascii="宋体" w:hAnsi="宋体" w:cs="Times New Roman"/>
          <w:color w:val="auto"/>
          <w:kern w:val="2"/>
          <w:sz w:val="24"/>
          <w:szCs w:val="24"/>
          <w:lang w:val="en-US" w:bidi="ar-SA"/>
        </w:rPr>
        <w:t>能力。</w:t>
      </w:r>
    </w:p>
    <w:p>
      <w:pPr>
        <w:keepNext w:val="0"/>
        <w:keepLines w:val="0"/>
        <w:pageBreakBefore w:val="0"/>
        <w:kinsoku/>
        <w:wordWrap/>
        <w:overflowPunct/>
        <w:topLinePunct w:val="0"/>
        <w:autoSpaceDE/>
        <w:autoSpaceDN/>
        <w:bidi w:val="0"/>
        <w:adjustRightInd/>
        <w:snapToGrid/>
        <w:spacing w:line="288" w:lineRule="auto"/>
        <w:ind w:firstLine="482" w:firstLineChars="200"/>
        <w:jc w:val="both"/>
        <w:textAlignment w:val="auto"/>
        <w:rPr>
          <w:rFonts w:hint="eastAsia" w:cs="Times New Roman"/>
          <w:b/>
          <w:bCs/>
          <w:color w:val="auto"/>
          <w:kern w:val="2"/>
          <w:sz w:val="24"/>
          <w:szCs w:val="24"/>
          <w:lang w:val="en-US" w:bidi="ar-SA"/>
        </w:rPr>
      </w:pPr>
      <w:r>
        <w:rPr>
          <w:rFonts w:hint="eastAsia" w:cs="Times New Roman"/>
          <w:b/>
          <w:bCs/>
          <w:color w:val="auto"/>
          <w:kern w:val="2"/>
          <w:sz w:val="24"/>
          <w:szCs w:val="24"/>
          <w:lang w:val="en-US" w:bidi="ar-SA"/>
        </w:rPr>
        <w:t>（二）临床能力领域</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eastAsia="zh-CN" w:bidi="ar-SA"/>
        </w:rPr>
        <w:t>具备</w:t>
      </w:r>
      <w:r>
        <w:rPr>
          <w:rFonts w:hint="eastAsia" w:ascii="宋体" w:hAnsi="宋体" w:cs="Times New Roman"/>
          <w:color w:val="auto"/>
          <w:kern w:val="2"/>
          <w:sz w:val="24"/>
          <w:szCs w:val="24"/>
          <w:lang w:val="en-US" w:bidi="ar-SA"/>
        </w:rPr>
        <w:t>良好的沟通交流能力，能够尊重患者及其家属、同行和其他卫生专业人员等并与之进行有效的交流。</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能够全面、系统、正确</w:t>
      </w:r>
      <w:r>
        <w:rPr>
          <w:rFonts w:hint="eastAsia" w:cs="Times New Roman"/>
          <w:color w:val="auto"/>
          <w:kern w:val="2"/>
          <w:sz w:val="24"/>
          <w:szCs w:val="24"/>
          <w:lang w:val="en-US" w:eastAsia="zh-CN" w:bidi="ar-SA"/>
        </w:rPr>
        <w:t>地</w:t>
      </w:r>
      <w:r>
        <w:rPr>
          <w:rFonts w:hint="eastAsia" w:ascii="宋体" w:hAnsi="宋体" w:cs="Times New Roman"/>
          <w:color w:val="auto"/>
          <w:kern w:val="2"/>
          <w:sz w:val="24"/>
          <w:szCs w:val="24"/>
          <w:lang w:val="en-US" w:bidi="ar-SA"/>
        </w:rPr>
        <w:t>采集病史。</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能够系统、规范地进行体格检查及精神状态评价，规范地书写病历。</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能够依据病史和体格检查中的发现，形成初步诊断，并进行鉴别诊断，提出合理的治疗原则。</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能够根据患者的病情、安全和成本效益等因素，选择适宜的临床检查方法并能说明其合理性，对检查结果能做出有效判断和解释。</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能够选择并安全地实施各种常见的临床基本操作。</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能够根据不断获取的证据做出临床诊断和决策，在上级医生指导下确定进一步的诊疗方案并说明其合理性。</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能够了解患者的问题、意见、关注点和偏好，使患者及其家属充分理解病情； 努力同患者及其家属共同制订诊疗计划，并就诊疗方案的风险和益处进行沟通，促进良好的医患关系。</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能够及时向患者及其家属/监护人提供相关信息，使他们在充分知情的前提下选择诊疗方案。</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能够将疾病预防、早期发现、卫生保健和慢性疾病管理等知识和理念结合到临床实践中。</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能够依据客观证据，提出合法、安全、有效、经济的治疗方案。</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能够及时发现并评估病情程度及变化，对需要紧急处理的患者进行合法的急救处理。</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能够掌握临终患者的治疗原则，沟通患者家属或监护人，避免不必要的检查或治疗。用对症、心理支持等姑息治疗的方法来达到人道主义的目的，提高舒适度并使患者获得应有的尊严。</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能够在临床数据系统中有效地检索、解读和记录信息。</w:t>
      </w:r>
    </w:p>
    <w:p>
      <w:pPr>
        <w:keepNext w:val="0"/>
        <w:keepLines w:val="0"/>
        <w:pageBreakBefore w:val="0"/>
        <w:numPr>
          <w:ilvl w:val="0"/>
          <w:numId w:val="2"/>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cs="Times New Roman"/>
          <w:color w:val="auto"/>
          <w:kern w:val="2"/>
          <w:sz w:val="24"/>
          <w:szCs w:val="24"/>
          <w:lang w:val="en-US" w:eastAsia="zh-CN" w:bidi="ar-SA"/>
        </w:rPr>
        <w:t>能够</w:t>
      </w:r>
      <w:r>
        <w:rPr>
          <w:rFonts w:hint="eastAsia" w:ascii="宋体" w:hAnsi="宋体" w:cs="Times New Roman"/>
          <w:color w:val="auto"/>
          <w:kern w:val="2"/>
          <w:sz w:val="24"/>
          <w:szCs w:val="24"/>
          <w:lang w:val="en-US" w:bidi="ar-SA"/>
        </w:rPr>
        <w:t>掌握</w:t>
      </w:r>
      <w:r>
        <w:rPr>
          <w:rFonts w:hint="eastAsia" w:cs="Times New Roman"/>
          <w:color w:val="auto"/>
          <w:kern w:val="2"/>
          <w:sz w:val="24"/>
          <w:szCs w:val="24"/>
          <w:lang w:val="en-US" w:eastAsia="zh-CN" w:bidi="ar-SA"/>
        </w:rPr>
        <w:t>统计学等</w:t>
      </w:r>
      <w:r>
        <w:rPr>
          <w:rFonts w:hint="eastAsia" w:ascii="宋体" w:hAnsi="宋体" w:cs="Times New Roman"/>
          <w:color w:val="auto"/>
          <w:kern w:val="2"/>
          <w:sz w:val="24"/>
          <w:szCs w:val="24"/>
          <w:lang w:val="en-US" w:bidi="ar-SA"/>
        </w:rPr>
        <w:t>基本科研方法</w:t>
      </w:r>
      <w:r>
        <w:rPr>
          <w:rFonts w:hint="eastAsia" w:cs="Times New Roman"/>
          <w:color w:val="auto"/>
          <w:kern w:val="2"/>
          <w:sz w:val="24"/>
          <w:szCs w:val="24"/>
          <w:lang w:val="en-US" w:eastAsia="zh-CN" w:bidi="ar-SA"/>
        </w:rPr>
        <w:t>，并能将其应用到临床科学研究</w:t>
      </w:r>
      <w:r>
        <w:rPr>
          <w:rFonts w:hint="eastAsia" w:ascii="宋体" w:hAnsi="宋体" w:cs="Times New Roman"/>
          <w:color w:val="auto"/>
          <w:kern w:val="2"/>
          <w:sz w:val="24"/>
          <w:szCs w:val="24"/>
          <w:lang w:val="en-US" w:bidi="ar-SA"/>
        </w:rPr>
        <w:t>。</w:t>
      </w:r>
    </w:p>
    <w:p>
      <w:pPr>
        <w:keepNext w:val="0"/>
        <w:keepLines w:val="0"/>
        <w:pageBreakBefore w:val="0"/>
        <w:kinsoku/>
        <w:wordWrap/>
        <w:overflowPunct/>
        <w:topLinePunct w:val="0"/>
        <w:autoSpaceDE/>
        <w:autoSpaceDN/>
        <w:bidi w:val="0"/>
        <w:adjustRightInd/>
        <w:snapToGrid/>
        <w:spacing w:line="288" w:lineRule="auto"/>
        <w:ind w:firstLine="482" w:firstLineChars="200"/>
        <w:jc w:val="both"/>
        <w:textAlignment w:val="auto"/>
        <w:rPr>
          <w:rFonts w:hint="eastAsia" w:cs="Times New Roman"/>
          <w:b/>
          <w:bCs/>
          <w:color w:val="auto"/>
          <w:kern w:val="2"/>
          <w:sz w:val="24"/>
          <w:szCs w:val="24"/>
          <w:lang w:val="en-US" w:bidi="ar-SA"/>
        </w:rPr>
      </w:pPr>
      <w:r>
        <w:rPr>
          <w:rFonts w:hint="eastAsia" w:cs="Times New Roman"/>
          <w:b/>
          <w:bCs/>
          <w:color w:val="auto"/>
          <w:kern w:val="2"/>
          <w:sz w:val="24"/>
          <w:szCs w:val="24"/>
          <w:lang w:val="en-US" w:bidi="ar-SA"/>
        </w:rPr>
        <w:t>（三）健康与社会领域</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具有保护并促进个体和人群健康的责任意识。</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能够了解影响人群健康、疾病和有效治疗的因素，包括健康不公平和不平等的相关问题，文化、精神和社会价值观的多样化，以及社会经济、心理状态和自然环境因素。</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能够以不同的角色进行有效沟通，如开展健康教育等。</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解释和评估人群的健康检查和预防措施，包括人群健康状况的监测、患者随访、用药、康复治疗及其他方面的指导等。</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能够了解医院医疗质量保障和医疗安全管理体系，明确自己的业务能力与权限，重视患者安全，及时识别对患者不利的危险因素。</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s="Times New Roman"/>
          <w:color w:val="auto"/>
          <w:kern w:val="2"/>
          <w:sz w:val="24"/>
          <w:szCs w:val="24"/>
          <w:lang w:val="en-US" w:bidi="ar-SA"/>
        </w:rPr>
        <w:t>能够了解我国医疗卫生系统的结构和功能，以及各组成部门的职能和相互关系，理解合理分配有限资源的原则，以满足个人、群体和国家的健康需求。</w:t>
      </w:r>
    </w:p>
    <w:p>
      <w:pPr>
        <w:keepNext w:val="0"/>
        <w:keepLines w:val="0"/>
        <w:pageBreakBefore w:val="0"/>
        <w:numPr>
          <w:ilvl w:val="0"/>
          <w:numId w:val="3"/>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lang w:val="en-US" w:bidi="ar-SA"/>
        </w:rPr>
      </w:pPr>
      <w:r>
        <w:rPr>
          <w:rFonts w:hint="eastAsia" w:ascii="宋体" w:hAnsi="宋体"/>
          <w:color w:val="auto"/>
          <w:sz w:val="24"/>
          <w:szCs w:val="24"/>
          <w:lang w:val="en-US" w:eastAsia="zh-CN"/>
        </w:rPr>
        <w:t>能够理解</w:t>
      </w:r>
      <w:r>
        <w:rPr>
          <w:rFonts w:hint="eastAsia" w:ascii="宋体" w:hAnsi="宋体"/>
          <w:color w:val="auto"/>
          <w:sz w:val="24"/>
          <w:szCs w:val="24"/>
          <w:u w:val="none"/>
        </w:rPr>
        <w:t>全球健康问题以及健康和疾病的决定因素</w:t>
      </w:r>
      <w:r>
        <w:rPr>
          <w:rFonts w:hint="eastAsia" w:ascii="宋体" w:hAnsi="宋体"/>
          <w:color w:val="auto"/>
          <w:sz w:val="24"/>
          <w:szCs w:val="24"/>
          <w:u w:val="none"/>
          <w:lang w:eastAsia="zh-CN"/>
        </w:rPr>
        <w:t>，</w:t>
      </w:r>
      <w:r>
        <w:rPr>
          <w:rFonts w:hint="eastAsia" w:ascii="宋体" w:hAnsi="宋体"/>
          <w:color w:val="auto"/>
          <w:sz w:val="24"/>
          <w:szCs w:val="24"/>
          <w:u w:val="none"/>
          <w:lang w:val="en-US" w:eastAsia="zh-CN"/>
        </w:rPr>
        <w:t>具备一定</w:t>
      </w:r>
      <w:r>
        <w:rPr>
          <w:rFonts w:hint="eastAsia" w:ascii="宋体" w:hAnsi="宋体"/>
          <w:color w:val="auto"/>
          <w:sz w:val="24"/>
          <w:szCs w:val="24"/>
          <w:u w:val="none"/>
        </w:rPr>
        <w:t>依法应对重大突发公共卫生事件</w:t>
      </w:r>
      <w:r>
        <w:rPr>
          <w:rFonts w:hint="eastAsia" w:ascii="宋体" w:hAnsi="宋体"/>
          <w:color w:val="auto"/>
          <w:sz w:val="24"/>
          <w:szCs w:val="24"/>
          <w:u w:val="none"/>
          <w:lang w:val="en-US" w:eastAsia="zh-CN"/>
        </w:rPr>
        <w:t>的</w:t>
      </w:r>
      <w:r>
        <w:rPr>
          <w:rFonts w:hint="eastAsia" w:ascii="宋体" w:hAnsi="宋体"/>
          <w:color w:val="auto"/>
          <w:sz w:val="24"/>
          <w:szCs w:val="24"/>
          <w:u w:val="none"/>
        </w:rPr>
        <w:t>能力，做党和人民信赖的好医生</w:t>
      </w:r>
      <w:r>
        <w:rPr>
          <w:rFonts w:hint="eastAsia" w:ascii="宋体" w:hAnsi="宋体" w:cs="Times New Roman"/>
          <w:color w:val="auto"/>
          <w:kern w:val="2"/>
          <w:sz w:val="24"/>
          <w:szCs w:val="24"/>
          <w:lang w:val="en-US" w:bidi="ar-SA"/>
        </w:rPr>
        <w:t>。</w:t>
      </w:r>
    </w:p>
    <w:p>
      <w:pPr>
        <w:keepNext w:val="0"/>
        <w:keepLines w:val="0"/>
        <w:pageBreakBefore w:val="0"/>
        <w:kinsoku/>
        <w:wordWrap/>
        <w:overflowPunct/>
        <w:topLinePunct w:val="0"/>
        <w:autoSpaceDE/>
        <w:autoSpaceDN/>
        <w:bidi w:val="0"/>
        <w:adjustRightInd/>
        <w:snapToGrid/>
        <w:spacing w:line="288" w:lineRule="auto"/>
        <w:ind w:firstLine="482" w:firstLineChars="200"/>
        <w:jc w:val="both"/>
        <w:textAlignment w:val="auto"/>
        <w:rPr>
          <w:rFonts w:hint="eastAsia" w:cs="Times New Roman"/>
          <w:b/>
          <w:bCs/>
          <w:color w:val="auto"/>
          <w:kern w:val="2"/>
          <w:sz w:val="24"/>
          <w:szCs w:val="24"/>
          <w:lang w:val="en-US" w:bidi="ar-SA"/>
        </w:rPr>
      </w:pPr>
      <w:r>
        <w:rPr>
          <w:rFonts w:hint="eastAsia" w:cs="Times New Roman"/>
          <w:b/>
          <w:bCs/>
          <w:color w:val="auto"/>
          <w:kern w:val="2"/>
          <w:sz w:val="24"/>
          <w:szCs w:val="24"/>
          <w:lang w:val="en-US" w:bidi="ar-SA"/>
        </w:rPr>
        <w:t>（四）职业素养领域</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对党的创新理论有政治认同、思想认同、情感认同，能坚定中国特色社会主义道路自信、理论自信、制度自信、文化自信。</w:t>
      </w:r>
    </w:p>
    <w:p>
      <w:pPr>
        <w:keepNext w:val="0"/>
        <w:keepLines w:val="0"/>
        <w:pageBreakBefore w:val="0"/>
        <w:numPr>
          <w:ilvl w:val="0"/>
          <w:numId w:val="4"/>
        </w:numPr>
        <w:kinsoku/>
        <w:wordWrap/>
        <w:overflowPunct/>
        <w:topLinePunct w:val="0"/>
        <w:bidi w:val="0"/>
        <w:adjustRightInd/>
        <w:snapToGrid/>
        <w:spacing w:line="288" w:lineRule="auto"/>
        <w:textAlignment w:val="auto"/>
        <w:rPr>
          <w:rFonts w:hint="eastAsia" w:ascii="宋体" w:hAnsi="宋体" w:cs="Times New Roman"/>
          <w:color w:val="auto"/>
          <w:kern w:val="2"/>
          <w:sz w:val="24"/>
          <w:szCs w:val="24"/>
          <w:u w:val="none"/>
          <w:lang w:val="en-US" w:bidi="ar-SA"/>
        </w:rPr>
      </w:pPr>
      <w:r>
        <w:rPr>
          <w:rFonts w:hint="eastAsia" w:ascii="宋体" w:hAnsi="宋体"/>
          <w:color w:val="auto"/>
          <w:sz w:val="24"/>
          <w:szCs w:val="24"/>
          <w:highlight w:val="none"/>
          <w:u w:val="none"/>
        </w:rPr>
        <w:t>能够根据《中国医师道德准则》为所有患者提供人道主义的医疗服务，</w:t>
      </w:r>
      <w:r>
        <w:rPr>
          <w:rFonts w:hint="eastAsia" w:ascii="宋体" w:hAnsi="宋体"/>
          <w:color w:val="auto"/>
          <w:sz w:val="24"/>
          <w:szCs w:val="24"/>
          <w:highlight w:val="none"/>
          <w:u w:val="none"/>
          <w:lang w:val="en-US" w:eastAsia="zh-CN"/>
        </w:rPr>
        <w:t>具备</w:t>
      </w:r>
      <w:r>
        <w:rPr>
          <w:rFonts w:hint="eastAsia" w:ascii="宋体" w:hAnsi="宋体"/>
          <w:color w:val="auto"/>
          <w:sz w:val="24"/>
          <w:szCs w:val="24"/>
          <w:highlight w:val="none"/>
          <w:u w:val="none"/>
        </w:rPr>
        <w:t>医者仁心</w:t>
      </w:r>
      <w:r>
        <w:rPr>
          <w:rFonts w:hint="eastAsia" w:ascii="宋体" w:hAnsi="宋体"/>
          <w:color w:val="auto"/>
          <w:sz w:val="24"/>
          <w:szCs w:val="24"/>
          <w:highlight w:val="none"/>
          <w:u w:val="none"/>
          <w:lang w:val="en-US" w:eastAsia="zh-CN"/>
        </w:rPr>
        <w:t>的良好</w:t>
      </w:r>
      <w:r>
        <w:rPr>
          <w:rFonts w:hint="eastAsia" w:ascii="宋体" w:hAnsi="宋体"/>
          <w:color w:val="auto"/>
          <w:sz w:val="24"/>
          <w:szCs w:val="24"/>
          <w:highlight w:val="none"/>
          <w:u w:val="none"/>
        </w:rPr>
        <w:t>医德医风</w:t>
      </w:r>
      <w:r>
        <w:rPr>
          <w:rFonts w:hint="eastAsia" w:ascii="宋体" w:hAnsi="宋体"/>
          <w:color w:val="auto"/>
          <w:sz w:val="24"/>
          <w:szCs w:val="24"/>
          <w:highlight w:val="none"/>
          <w:u w:val="none"/>
          <w:lang w:eastAsia="zh-CN"/>
        </w:rPr>
        <w:t>，</w:t>
      </w:r>
      <w:r>
        <w:rPr>
          <w:rFonts w:hint="eastAsia" w:ascii="宋体" w:hAnsi="宋体"/>
          <w:color w:val="auto"/>
          <w:sz w:val="24"/>
          <w:szCs w:val="24"/>
          <w:highlight w:val="none"/>
          <w:u w:val="none"/>
        </w:rPr>
        <w:t>具有“</w:t>
      </w:r>
      <w:r>
        <w:rPr>
          <w:rFonts w:hint="eastAsia"/>
          <w:color w:val="auto"/>
          <w:sz w:val="24"/>
          <w:szCs w:val="24"/>
          <w:highlight w:val="none"/>
          <w:u w:val="none"/>
        </w:rPr>
        <w:t>敬佑生命、救死扶伤、甘于奉献、大爱无疆</w:t>
      </w:r>
      <w:r>
        <w:rPr>
          <w:rFonts w:hint="eastAsia" w:ascii="宋体" w:hAnsi="宋体"/>
          <w:color w:val="auto"/>
          <w:sz w:val="24"/>
          <w:szCs w:val="24"/>
          <w:highlight w:val="none"/>
          <w:u w:val="none"/>
        </w:rPr>
        <w:t>”的医者精神</w:t>
      </w:r>
      <w:r>
        <w:rPr>
          <w:rFonts w:hint="eastAsia" w:ascii="宋体" w:hAnsi="宋体"/>
          <w:color w:val="auto"/>
          <w:sz w:val="24"/>
          <w:szCs w:val="24"/>
          <w:highlight w:val="none"/>
          <w:u w:val="none"/>
          <w:lang w:eastAsia="zh-CN"/>
        </w:rPr>
        <w:t>。</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能够了解医疗卫生领域职业精神的内涵，在工作中养成同理心、尊重患者和提供优质服务等行为，树立真诚、正直、团队合作和领导力等素养。</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能够掌握医学伦理学的主要原理，并将其应用于医疗服务中。能够与患者及其家属、同行和其他卫生专业人员等有效地沟通伦理问题。</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能够了解影响医生健康的因素，如疲劳、压力和交叉感染等，并注意在医疗服务中有意识地控制这些因素，同时知晓自身健康对患者可能构成的风险。</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能够了解并遵守医疗行业的基本法律法规和职业道德，具备遵纪守法、爱岗敬业、无私奉献、诚实守信、公道办事、开拓创新的职业品格和行为习惯。</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能够意识到自己专业知识的局限性，尊重其他卫生从业人员，并注重相互合作和学习。</w:t>
      </w:r>
    </w:p>
    <w:p>
      <w:pPr>
        <w:keepNext w:val="0"/>
        <w:keepLines w:val="0"/>
        <w:pageBreakBefore w:val="0"/>
        <w:numPr>
          <w:ilvl w:val="0"/>
          <w:numId w:val="4"/>
        </w:numPr>
        <w:kinsoku/>
        <w:wordWrap/>
        <w:overflowPunct/>
        <w:topLinePunct w:val="0"/>
        <w:autoSpaceDE/>
        <w:autoSpaceDN/>
        <w:bidi w:val="0"/>
        <w:adjustRightInd/>
        <w:snapToGrid/>
        <w:spacing w:line="288" w:lineRule="auto"/>
        <w:jc w:val="both"/>
        <w:textAlignment w:val="auto"/>
        <w:rPr>
          <w:rFonts w:hint="eastAsia" w:ascii="宋体" w:hAnsi="宋体" w:cs="Times New Roman"/>
          <w:color w:val="auto"/>
          <w:kern w:val="2"/>
          <w:sz w:val="24"/>
          <w:szCs w:val="24"/>
          <w:u w:val="none"/>
          <w:lang w:val="en-US" w:bidi="ar-SA"/>
        </w:rPr>
      </w:pPr>
      <w:r>
        <w:rPr>
          <w:rFonts w:hint="eastAsia" w:ascii="宋体" w:hAnsi="宋体" w:cs="Times New Roman"/>
          <w:color w:val="auto"/>
          <w:kern w:val="2"/>
          <w:sz w:val="24"/>
          <w:szCs w:val="24"/>
          <w:u w:val="none"/>
          <w:lang w:val="en-US" w:bidi="ar-SA"/>
        </w:rPr>
        <w:t>树立自主学习、终身学习的观念，认识到持续自我完善的重要性，不断追求卓越。</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三、课程体系和主要课程</w:t>
      </w:r>
    </w:p>
    <w:p>
      <w:pPr>
        <w:pStyle w:val="6"/>
        <w:pageBreakBefore w:val="0"/>
        <w:kinsoku/>
        <w:wordWrap/>
        <w:overflowPunct/>
        <w:topLinePunct w:val="0"/>
        <w:bidi w:val="0"/>
        <w:adjustRightInd/>
        <w:snapToGrid/>
        <w:spacing w:line="288" w:lineRule="auto"/>
        <w:textAlignment w:val="auto"/>
        <w:rPr>
          <w:color w:val="auto"/>
        </w:rPr>
      </w:pPr>
      <w:r>
        <w:rPr>
          <w:color w:val="auto"/>
        </w:rPr>
        <w:t>（一）课程体系：人文社会科学、自然科学、生物医学、公共卫生、临床医学。</w:t>
      </w:r>
    </w:p>
    <w:p>
      <w:pPr>
        <w:pStyle w:val="6"/>
        <w:pageBreakBefore w:val="0"/>
        <w:kinsoku/>
        <w:wordWrap/>
        <w:overflowPunct/>
        <w:topLinePunct w:val="0"/>
        <w:bidi w:val="0"/>
        <w:adjustRightInd/>
        <w:snapToGrid/>
        <w:spacing w:before="47" w:line="288" w:lineRule="auto"/>
        <w:ind w:left="119" w:right="187" w:firstLine="480" w:firstLineChars="200"/>
        <w:textAlignment w:val="auto"/>
        <w:rPr>
          <w:color w:val="auto"/>
        </w:rPr>
      </w:pPr>
      <w:r>
        <w:rPr>
          <w:color w:val="auto"/>
        </w:rPr>
        <w:t>（二）</w:t>
      </w:r>
      <w:r>
        <w:rPr>
          <w:color w:val="auto"/>
          <w:spacing w:val="-1"/>
        </w:rPr>
        <w:t>主要课程：军事理论、英语、体育、大学生安全教育、</w:t>
      </w:r>
      <w:r>
        <w:rPr>
          <w:rFonts w:hint="eastAsia"/>
          <w:color w:val="auto"/>
          <w:lang w:val="en-US"/>
        </w:rPr>
        <w:t>劳动教育、</w:t>
      </w:r>
      <w:r>
        <w:rPr>
          <w:color w:val="auto"/>
          <w:spacing w:val="-1"/>
        </w:rPr>
        <w:t>创业基础、大学生职业发展与就业指导、大学生心理健康教育、思想</w:t>
      </w:r>
      <w:r>
        <w:rPr>
          <w:rFonts w:hint="eastAsia"/>
          <w:color w:val="auto"/>
          <w:spacing w:val="-1"/>
          <w:lang w:val="en-US"/>
        </w:rPr>
        <w:t>道</w:t>
      </w:r>
      <w:r>
        <w:rPr>
          <w:color w:val="auto"/>
          <w:spacing w:val="-1"/>
        </w:rPr>
        <w:t>德与法</w:t>
      </w:r>
      <w:r>
        <w:rPr>
          <w:rFonts w:hint="eastAsia"/>
          <w:color w:val="auto"/>
          <w:spacing w:val="-1"/>
          <w:lang w:val="en-US"/>
        </w:rPr>
        <w:t>治</w:t>
      </w:r>
      <w:r>
        <w:rPr>
          <w:color w:val="auto"/>
        </w:rPr>
        <w:t>、中国近现代史纲要、马克思主义基本原理、毛泽东思想和中国特色社会主义理论体系概论、</w:t>
      </w:r>
      <w:r>
        <w:rPr>
          <w:rFonts w:hint="eastAsia"/>
          <w:color w:val="auto"/>
          <w:lang w:val="en-US"/>
        </w:rPr>
        <w:t>习近平新时代中国特色社会主义思想概</w:t>
      </w:r>
      <w:r>
        <w:rPr>
          <w:rFonts w:hint="eastAsia"/>
          <w:color w:val="auto"/>
          <w:lang w:val="en-US" w:eastAsia="zh-CN"/>
        </w:rPr>
        <w:t>概论</w:t>
      </w:r>
      <w:r>
        <w:rPr>
          <w:rFonts w:hint="eastAsia"/>
          <w:color w:val="auto"/>
          <w:lang w:val="en-US"/>
        </w:rPr>
        <w:t>、</w:t>
      </w:r>
      <w:r>
        <w:rPr>
          <w:color w:val="auto"/>
        </w:rPr>
        <w:t>自然辩证法*、卫生法学、医患沟通学、医学心理学、医学伦理学、解剖学、细胞生物学、生理学、生物化学与分子生物学、组织学与胚胎学、医学免疫学、医学微生物学、医学遗传学、人体寄生虫学、病理生理学、药理学、病理学、机能实验学、医学信息检索与利用、医学统计学*、科学研究入门*、流行病学</w:t>
      </w:r>
      <w:r>
        <w:rPr>
          <w:rFonts w:hint="eastAsia"/>
          <w:color w:val="auto"/>
          <w:lang w:val="en-US" w:eastAsia="zh-CN"/>
        </w:rPr>
        <w:t>与</w:t>
      </w:r>
      <w:r>
        <w:rPr>
          <w:color w:val="auto"/>
        </w:rPr>
        <w:t>循证医学、全科医学概论、临床技能学、诊断学、外科学总论、内科学、外科学、妇产科学、儿科学、麻醉学、神经病学、传染病学、耳鼻咽喉科学、眼科学、皮肤性病学、口腔科学、老年医学、康复医学、急诊医学、精神病学、</w:t>
      </w:r>
      <w:r>
        <w:rPr>
          <w:rFonts w:hint="eastAsia"/>
          <w:color w:val="auto"/>
          <w:lang w:val="en-US"/>
        </w:rPr>
        <w:t>医学</w:t>
      </w:r>
      <w:r>
        <w:rPr>
          <w:color w:val="auto"/>
        </w:rPr>
        <w:t>影像学、超声</w:t>
      </w:r>
      <w:r>
        <w:rPr>
          <w:rFonts w:hint="eastAsia"/>
          <w:color w:val="auto"/>
          <w:lang w:val="en-US"/>
        </w:rPr>
        <w:t>诊断</w:t>
      </w:r>
      <w:r>
        <w:rPr>
          <w:color w:val="auto"/>
        </w:rPr>
        <w:t>学、核医学、中医学</w:t>
      </w:r>
      <w:r>
        <w:rPr>
          <w:rFonts w:hint="eastAsia"/>
          <w:color w:val="auto"/>
          <w:lang w:val="en-US" w:eastAsia="zh-CN"/>
        </w:rPr>
        <w:t>等</w:t>
      </w:r>
      <w:r>
        <w:rPr>
          <w:color w:val="auto"/>
        </w:rPr>
        <w:t>。</w:t>
      </w:r>
    </w:p>
    <w:p>
      <w:pPr>
        <w:pStyle w:val="6"/>
        <w:pageBreakBefore w:val="0"/>
        <w:kinsoku/>
        <w:wordWrap/>
        <w:overflowPunct/>
        <w:topLinePunct w:val="0"/>
        <w:bidi w:val="0"/>
        <w:adjustRightInd/>
        <w:snapToGrid/>
        <w:spacing w:before="2" w:line="288" w:lineRule="auto"/>
        <w:textAlignment w:val="auto"/>
        <w:rPr>
          <w:color w:val="auto"/>
        </w:rPr>
      </w:pPr>
      <w:r>
        <w:rPr>
          <w:color w:val="auto"/>
        </w:rPr>
        <w:t>注：*</w:t>
      </w:r>
      <w:r>
        <w:rPr>
          <w:color w:val="auto"/>
          <w:spacing w:val="-1"/>
        </w:rPr>
        <w:t xml:space="preserve"> 为硕士学位课程</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四、主要实践教学环节</w:t>
      </w:r>
    </w:p>
    <w:p>
      <w:pPr>
        <w:pStyle w:val="6"/>
        <w:pageBreakBefore w:val="0"/>
        <w:kinsoku/>
        <w:wordWrap/>
        <w:overflowPunct/>
        <w:topLinePunct w:val="0"/>
        <w:bidi w:val="0"/>
        <w:adjustRightInd/>
        <w:snapToGrid/>
        <w:spacing w:before="52" w:line="288" w:lineRule="auto"/>
        <w:ind w:left="589"/>
        <w:textAlignment w:val="auto"/>
        <w:rPr>
          <w:color w:val="auto"/>
        </w:rPr>
      </w:pPr>
      <w:r>
        <w:rPr>
          <w:color w:val="auto"/>
        </w:rPr>
        <w:t>（一）军事训练，2 周，计 2 学分。</w:t>
      </w:r>
    </w:p>
    <w:p>
      <w:pPr>
        <w:pStyle w:val="6"/>
        <w:pageBreakBefore w:val="0"/>
        <w:kinsoku/>
        <w:wordWrap/>
        <w:overflowPunct/>
        <w:topLinePunct w:val="0"/>
        <w:bidi w:val="0"/>
        <w:adjustRightInd/>
        <w:snapToGrid/>
        <w:spacing w:line="288" w:lineRule="auto"/>
        <w:textAlignment w:val="auto"/>
        <w:rPr>
          <w:color w:val="auto"/>
        </w:rPr>
      </w:pPr>
      <w:r>
        <w:rPr>
          <w:color w:val="auto"/>
        </w:rPr>
        <w:t>（二）临床技能</w:t>
      </w:r>
      <w:r>
        <w:rPr>
          <w:rFonts w:hint="eastAsia"/>
          <w:color w:val="auto"/>
          <w:lang w:val="en-US" w:eastAsia="zh-CN"/>
        </w:rPr>
        <w:t>培训</w:t>
      </w:r>
      <w:r>
        <w:rPr>
          <w:color w:val="auto"/>
        </w:rPr>
        <w:t>，安排在第 1～8 学期</w:t>
      </w:r>
      <w:r>
        <w:rPr>
          <w:rFonts w:hint="eastAsia"/>
          <w:color w:val="auto"/>
          <w:lang w:eastAsia="zh-CN"/>
        </w:rPr>
        <w:t>，</w:t>
      </w:r>
      <w:r>
        <w:rPr>
          <w:color w:val="auto"/>
        </w:rPr>
        <w:t>156 学时，计 5 学分。</w:t>
      </w:r>
    </w:p>
    <w:p>
      <w:pPr>
        <w:pStyle w:val="6"/>
        <w:pageBreakBefore w:val="0"/>
        <w:kinsoku/>
        <w:wordWrap/>
        <w:overflowPunct/>
        <w:topLinePunct w:val="0"/>
        <w:bidi w:val="0"/>
        <w:adjustRightInd/>
        <w:snapToGrid/>
        <w:spacing w:before="52" w:line="288" w:lineRule="auto"/>
        <w:textAlignment w:val="auto"/>
        <w:rPr>
          <w:color w:val="auto"/>
        </w:rPr>
      </w:pPr>
      <w:r>
        <w:rPr>
          <w:color w:val="auto"/>
        </w:rPr>
        <w:t>（三）毕业实习，安排在第 8～10 学期，52 周，计 48 学分。</w:t>
      </w:r>
    </w:p>
    <w:p>
      <w:pPr>
        <w:pStyle w:val="6"/>
        <w:pageBreakBefore w:val="0"/>
        <w:kinsoku/>
        <w:wordWrap/>
        <w:overflowPunct/>
        <w:topLinePunct w:val="0"/>
        <w:bidi w:val="0"/>
        <w:adjustRightInd/>
        <w:snapToGrid/>
        <w:spacing w:line="288" w:lineRule="auto"/>
        <w:textAlignment w:val="auto"/>
        <w:rPr>
          <w:color w:val="auto"/>
        </w:rPr>
      </w:pPr>
      <w:r>
        <w:rPr>
          <w:color w:val="auto"/>
        </w:rPr>
        <w:t>（四）社会实践2 周，计 2 学分。</w:t>
      </w:r>
    </w:p>
    <w:p>
      <w:pPr>
        <w:pStyle w:val="6"/>
        <w:pageBreakBefore w:val="0"/>
        <w:kinsoku/>
        <w:wordWrap/>
        <w:overflowPunct/>
        <w:topLinePunct w:val="0"/>
        <w:bidi w:val="0"/>
        <w:adjustRightInd/>
        <w:snapToGrid/>
        <w:spacing w:before="52" w:line="288" w:lineRule="auto"/>
        <w:textAlignment w:val="auto"/>
        <w:rPr>
          <w:color w:val="auto"/>
        </w:rPr>
      </w:pPr>
      <w:r>
        <w:rPr>
          <w:color w:val="auto"/>
        </w:rPr>
        <w:t>（五）创新创业素质拓展，3 学分。</w:t>
      </w:r>
    </w:p>
    <w:p>
      <w:pPr>
        <w:pStyle w:val="16"/>
        <w:pageBreakBefore w:val="0"/>
        <w:numPr>
          <w:ilvl w:val="0"/>
          <w:numId w:val="5"/>
        </w:numPr>
        <w:tabs>
          <w:tab w:val="left" w:pos="840"/>
        </w:tabs>
        <w:kinsoku/>
        <w:wordWrap/>
        <w:overflowPunct/>
        <w:topLinePunct w:val="0"/>
        <w:bidi w:val="0"/>
        <w:adjustRightInd/>
        <w:snapToGrid/>
        <w:spacing w:line="288" w:lineRule="auto"/>
        <w:ind w:right="305" w:firstLine="480"/>
        <w:textAlignment w:val="auto"/>
        <w:rPr>
          <w:color w:val="auto"/>
          <w:sz w:val="24"/>
        </w:rPr>
      </w:pPr>
      <w:r>
        <w:rPr>
          <w:color w:val="auto"/>
          <w:spacing w:val="-1"/>
          <w:sz w:val="24"/>
        </w:rPr>
        <w:t>主持并完成“大学生创新创业训练计划项目”或“未来学术之星”等科研项目</w:t>
      </w:r>
      <w:r>
        <w:rPr>
          <w:color w:val="auto"/>
          <w:spacing w:val="-13"/>
          <w:sz w:val="24"/>
        </w:rPr>
        <w:t xml:space="preserve">的，每项 </w:t>
      </w:r>
      <w:r>
        <w:rPr>
          <w:color w:val="auto"/>
          <w:sz w:val="24"/>
        </w:rPr>
        <w:t>3</w:t>
      </w:r>
      <w:r>
        <w:rPr>
          <w:color w:val="auto"/>
          <w:spacing w:val="-12"/>
          <w:sz w:val="24"/>
        </w:rPr>
        <w:t xml:space="preserve"> 学分；参与以上项目的，每项 </w:t>
      </w:r>
      <w:r>
        <w:rPr>
          <w:color w:val="auto"/>
          <w:sz w:val="24"/>
        </w:rPr>
        <w:t>1.5</w:t>
      </w:r>
      <w:r>
        <w:rPr>
          <w:color w:val="auto"/>
          <w:spacing w:val="-15"/>
          <w:sz w:val="24"/>
        </w:rPr>
        <w:t xml:space="preserve"> 学分；</w:t>
      </w:r>
    </w:p>
    <w:p>
      <w:pPr>
        <w:pStyle w:val="16"/>
        <w:pageBreakBefore w:val="0"/>
        <w:numPr>
          <w:ilvl w:val="0"/>
          <w:numId w:val="5"/>
        </w:numPr>
        <w:tabs>
          <w:tab w:val="left" w:pos="840"/>
        </w:tabs>
        <w:kinsoku/>
        <w:wordWrap/>
        <w:overflowPunct/>
        <w:topLinePunct w:val="0"/>
        <w:bidi w:val="0"/>
        <w:adjustRightInd/>
        <w:snapToGrid/>
        <w:spacing w:line="288" w:lineRule="auto"/>
        <w:ind w:right="305" w:firstLine="480"/>
        <w:textAlignment w:val="auto"/>
        <w:rPr>
          <w:color w:val="auto"/>
          <w:spacing w:val="-1"/>
          <w:sz w:val="24"/>
        </w:rPr>
      </w:pPr>
      <w:r>
        <w:rPr>
          <w:color w:val="auto"/>
          <w:spacing w:val="-1"/>
          <w:sz w:val="24"/>
        </w:rPr>
        <w:t>主持“互联网+”大学生创新创业大赛项目，报名成功并进入校级比赛的，每项</w:t>
      </w:r>
      <w:r>
        <w:rPr>
          <w:rFonts w:hint="eastAsia"/>
          <w:color w:val="auto"/>
          <w:spacing w:val="-1"/>
          <w:sz w:val="24"/>
          <w:lang w:val="en-US" w:eastAsia="zh-CN"/>
        </w:rPr>
        <w:t xml:space="preserve"> </w:t>
      </w:r>
      <w:r>
        <w:rPr>
          <w:color w:val="auto"/>
          <w:spacing w:val="-1"/>
          <w:sz w:val="24"/>
        </w:rPr>
        <w:t>3 学分；参与该项目的，每项 1.5 学分；</w:t>
      </w:r>
    </w:p>
    <w:p>
      <w:pPr>
        <w:pStyle w:val="16"/>
        <w:pageBreakBefore w:val="0"/>
        <w:numPr>
          <w:ilvl w:val="0"/>
          <w:numId w:val="5"/>
        </w:numPr>
        <w:tabs>
          <w:tab w:val="left" w:pos="840"/>
        </w:tabs>
        <w:kinsoku/>
        <w:wordWrap/>
        <w:overflowPunct/>
        <w:topLinePunct w:val="0"/>
        <w:bidi w:val="0"/>
        <w:adjustRightInd/>
        <w:snapToGrid/>
        <w:spacing w:line="288" w:lineRule="auto"/>
        <w:ind w:right="244" w:firstLine="480"/>
        <w:jc w:val="both"/>
        <w:textAlignment w:val="auto"/>
        <w:rPr>
          <w:color w:val="auto"/>
          <w:sz w:val="24"/>
        </w:rPr>
      </w:pPr>
      <w:r>
        <w:rPr>
          <w:color w:val="auto"/>
          <w:sz w:val="24"/>
        </w:rPr>
        <w:t>符合《广西医科大学本科生课外素质教育奖励学分实施管理办法（2017</w:t>
      </w:r>
      <w:r>
        <w:rPr>
          <w:color w:val="auto"/>
          <w:spacing w:val="-40"/>
          <w:sz w:val="24"/>
        </w:rPr>
        <w:t xml:space="preserve"> 年 </w:t>
      </w:r>
      <w:r>
        <w:rPr>
          <w:color w:val="auto"/>
          <w:sz w:val="24"/>
        </w:rPr>
        <w:t>9</w:t>
      </w:r>
      <w:r>
        <w:rPr>
          <w:color w:val="auto"/>
          <w:spacing w:val="-38"/>
          <w:sz w:val="24"/>
        </w:rPr>
        <w:t xml:space="preserve"> 月</w:t>
      </w:r>
      <w:r>
        <w:rPr>
          <w:color w:val="auto"/>
          <w:sz w:val="24"/>
        </w:rPr>
        <w:t>修订）》（桂医大教〔2017〕69</w:t>
      </w:r>
      <w:r>
        <w:rPr>
          <w:color w:val="auto"/>
          <w:spacing w:val="-30"/>
          <w:sz w:val="24"/>
        </w:rPr>
        <w:t xml:space="preserve"> 号</w:t>
      </w:r>
      <w:r>
        <w:rPr>
          <w:color w:val="auto"/>
          <w:sz w:val="24"/>
        </w:rPr>
        <w:t>）</w:t>
      </w:r>
      <w:r>
        <w:rPr>
          <w:color w:val="auto"/>
          <w:spacing w:val="-1"/>
          <w:sz w:val="24"/>
        </w:rPr>
        <w:t>文件中学分奖励条件，获得的奖励学分可作为创</w:t>
      </w:r>
      <w:r>
        <w:rPr>
          <w:color w:val="auto"/>
          <w:sz w:val="24"/>
        </w:rPr>
        <w:t>新创业素质拓展学分（文件中第三类别：创新创业训练奖励学分除外）。</w:t>
      </w:r>
    </w:p>
    <w:p>
      <w:pPr>
        <w:pStyle w:val="6"/>
        <w:pageBreakBefore w:val="0"/>
        <w:kinsoku/>
        <w:wordWrap/>
        <w:overflowPunct/>
        <w:topLinePunct w:val="0"/>
        <w:bidi w:val="0"/>
        <w:adjustRightInd/>
        <w:snapToGrid/>
        <w:spacing w:before="0" w:line="288" w:lineRule="auto"/>
        <w:ind w:left="118" w:right="305" w:firstLine="480"/>
        <w:textAlignment w:val="auto"/>
        <w:rPr>
          <w:color w:val="auto"/>
        </w:rPr>
      </w:pPr>
      <w:r>
        <w:rPr>
          <w:color w:val="auto"/>
        </w:rPr>
        <w:t>（六）硕士阶段：按照硕士专业学位研究生培养（具体方案见《广西医科大学专业学位硕士培养方案总则》）。</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五、本科阶段课程设置</w:t>
      </w:r>
    </w:p>
    <w:p>
      <w:pPr>
        <w:pStyle w:val="6"/>
        <w:pageBreakBefore w:val="0"/>
        <w:kinsoku/>
        <w:wordWrap/>
        <w:overflowPunct/>
        <w:topLinePunct w:val="0"/>
        <w:bidi w:val="0"/>
        <w:adjustRightInd/>
        <w:snapToGrid/>
        <w:spacing w:before="67" w:line="288" w:lineRule="auto"/>
        <w:ind w:left="838"/>
        <w:textAlignment w:val="auto"/>
        <w:rPr>
          <w:color w:val="auto"/>
          <w:highlight w:val="none"/>
        </w:rPr>
      </w:pPr>
      <w:r>
        <w:rPr>
          <w:color w:val="auto"/>
        </w:rPr>
        <w:t>(一)必修课程：</w:t>
      </w:r>
      <w:r>
        <w:rPr>
          <w:color w:val="auto"/>
          <w:highlight w:val="none"/>
        </w:rPr>
        <w:t xml:space="preserve">共 </w:t>
      </w:r>
      <w:r>
        <w:rPr>
          <w:rFonts w:hint="eastAsia"/>
          <w:color w:val="auto"/>
          <w:highlight w:val="none"/>
          <w:lang w:val="en-US"/>
        </w:rPr>
        <w:t>5</w:t>
      </w:r>
      <w:r>
        <w:rPr>
          <w:rFonts w:hint="eastAsia"/>
          <w:color w:val="auto"/>
          <w:highlight w:val="none"/>
          <w:lang w:val="en-US" w:eastAsia="zh-CN"/>
        </w:rPr>
        <w:t xml:space="preserve">7 </w:t>
      </w:r>
      <w:r>
        <w:rPr>
          <w:color w:val="auto"/>
          <w:highlight w:val="none"/>
        </w:rPr>
        <w:t>门、</w:t>
      </w:r>
      <w:r>
        <w:rPr>
          <w:rFonts w:hint="eastAsia"/>
          <w:color w:val="auto"/>
          <w:highlight w:val="none"/>
          <w:lang w:val="en-US" w:eastAsia="zh-CN"/>
        </w:rPr>
        <w:t>3432</w:t>
      </w:r>
      <w:r>
        <w:rPr>
          <w:color w:val="auto"/>
          <w:highlight w:val="none"/>
        </w:rPr>
        <w:t>学时、</w:t>
      </w:r>
      <w:r>
        <w:rPr>
          <w:rFonts w:hint="eastAsia"/>
          <w:color w:val="auto"/>
          <w:highlight w:val="none"/>
          <w:lang w:val="en-US"/>
        </w:rPr>
        <w:t>1</w:t>
      </w:r>
      <w:r>
        <w:rPr>
          <w:rFonts w:hint="eastAsia"/>
          <w:color w:val="auto"/>
          <w:highlight w:val="none"/>
          <w:lang w:val="en-US" w:eastAsia="zh-CN"/>
        </w:rPr>
        <w:t xml:space="preserve">69 </w:t>
      </w:r>
      <w:r>
        <w:rPr>
          <w:color w:val="auto"/>
          <w:highlight w:val="none"/>
        </w:rPr>
        <w:t>学分，详见教学进程表。</w:t>
      </w:r>
    </w:p>
    <w:p>
      <w:pPr>
        <w:pStyle w:val="6"/>
        <w:pageBreakBefore w:val="0"/>
        <w:kinsoku/>
        <w:wordWrap/>
        <w:overflowPunct/>
        <w:topLinePunct w:val="0"/>
        <w:bidi w:val="0"/>
        <w:adjustRightInd/>
        <w:snapToGrid/>
        <w:spacing w:before="52" w:line="288" w:lineRule="auto"/>
        <w:ind w:left="838"/>
        <w:textAlignment w:val="auto"/>
        <w:rPr>
          <w:color w:val="auto"/>
          <w:highlight w:val="none"/>
        </w:rPr>
      </w:pPr>
      <w:r>
        <w:rPr>
          <w:color w:val="auto"/>
          <w:highlight w:val="none"/>
        </w:rPr>
        <w:t>(二)限选课程：</w:t>
      </w:r>
      <w:r>
        <w:rPr>
          <w:rFonts w:hint="eastAsia"/>
          <w:color w:val="auto"/>
          <w:highlight w:val="none"/>
          <w:lang w:val="en-US" w:eastAsia="zh-CN"/>
        </w:rPr>
        <w:t xml:space="preserve">13 </w:t>
      </w:r>
      <w:r>
        <w:rPr>
          <w:color w:val="auto"/>
          <w:highlight w:val="none"/>
        </w:rPr>
        <w:t>学分。</w:t>
      </w:r>
    </w:p>
    <w:p>
      <w:pPr>
        <w:pStyle w:val="6"/>
        <w:pageBreakBefore w:val="0"/>
        <w:kinsoku/>
        <w:wordWrap/>
        <w:overflowPunct/>
        <w:topLinePunct w:val="0"/>
        <w:bidi w:val="0"/>
        <w:adjustRightInd/>
        <w:snapToGrid/>
        <w:spacing w:line="288" w:lineRule="auto"/>
        <w:ind w:left="838"/>
        <w:textAlignment w:val="auto"/>
        <w:rPr>
          <w:color w:val="auto"/>
          <w:highlight w:val="none"/>
        </w:rPr>
      </w:pPr>
      <w:r>
        <w:rPr>
          <w:color w:val="auto"/>
          <w:highlight w:val="none"/>
        </w:rPr>
        <w:t>(三)任选课：20 学分。</w:t>
      </w:r>
    </w:p>
    <w:p>
      <w:pPr>
        <w:pStyle w:val="6"/>
        <w:keepNext w:val="0"/>
        <w:keepLines w:val="0"/>
        <w:pageBreakBefore w:val="0"/>
        <w:widowControl w:val="0"/>
        <w:kinsoku/>
        <w:wordWrap/>
        <w:overflowPunct/>
        <w:topLinePunct w:val="0"/>
        <w:autoSpaceDE w:val="0"/>
        <w:autoSpaceDN w:val="0"/>
        <w:bidi w:val="0"/>
        <w:adjustRightInd/>
        <w:snapToGrid/>
        <w:spacing w:before="47" w:line="288" w:lineRule="auto"/>
        <w:ind w:left="476" w:firstLine="480" w:firstLineChars="200"/>
        <w:jc w:val="both"/>
        <w:textAlignment w:val="auto"/>
        <w:rPr>
          <w:color w:val="auto"/>
        </w:rPr>
      </w:pPr>
      <w:r>
        <w:rPr>
          <w:rFonts w:ascii="宋体" w:hAnsi="宋体" w:eastAsia="宋体" w:cs="宋体"/>
          <w:color w:val="auto"/>
          <w:sz w:val="24"/>
          <w:szCs w:val="24"/>
        </w:rPr>
        <w:t>公共艺术类课程须修读</w:t>
      </w:r>
      <w:r>
        <w:rPr>
          <w:rFonts w:hint="eastAsia" w:cs="宋体"/>
          <w:color w:val="auto"/>
          <w:sz w:val="24"/>
          <w:szCs w:val="24"/>
          <w:lang w:val="en-US" w:eastAsia="zh-CN"/>
        </w:rPr>
        <w:t xml:space="preserve"> </w:t>
      </w:r>
      <w:r>
        <w:rPr>
          <w:rFonts w:ascii="宋体" w:hAnsi="宋体" w:eastAsia="宋体" w:cs="宋体"/>
          <w:color w:val="auto"/>
          <w:sz w:val="24"/>
          <w:szCs w:val="24"/>
        </w:rPr>
        <w:t>2</w:t>
      </w:r>
      <w:r>
        <w:rPr>
          <w:rFonts w:hint="eastAsia" w:cs="宋体"/>
          <w:color w:val="auto"/>
          <w:sz w:val="24"/>
          <w:szCs w:val="24"/>
          <w:lang w:val="en-US" w:eastAsia="zh-CN"/>
        </w:rPr>
        <w:t xml:space="preserve"> </w:t>
      </w:r>
      <w:r>
        <w:rPr>
          <w:rFonts w:ascii="宋体" w:hAnsi="宋体" w:eastAsia="宋体" w:cs="宋体"/>
          <w:color w:val="auto"/>
          <w:sz w:val="24"/>
          <w:szCs w:val="24"/>
        </w:rPr>
        <w:t>学分</w:t>
      </w:r>
      <w:r>
        <w:rPr>
          <w:rFonts w:hint="eastAsia" w:ascii="宋体" w:hAnsi="宋体" w:cs="宋体"/>
          <w:color w:val="auto"/>
          <w:sz w:val="24"/>
          <w:szCs w:val="24"/>
          <w:lang w:val="en-US" w:eastAsia="zh-CN"/>
        </w:rPr>
        <w:t>及</w:t>
      </w:r>
      <w:r>
        <w:rPr>
          <w:rFonts w:ascii="宋体" w:hAnsi="宋体" w:eastAsia="宋体" w:cs="宋体"/>
          <w:color w:val="auto"/>
          <w:sz w:val="24"/>
          <w:szCs w:val="24"/>
        </w:rPr>
        <w:t>以上。</w:t>
      </w:r>
      <w:r>
        <w:rPr>
          <w:color w:val="auto"/>
        </w:rPr>
        <w:drawing>
          <wp:anchor distT="0" distB="0" distL="0" distR="0" simplePos="0" relativeHeight="251659264" behindDoc="1" locked="0" layoutInCell="1" allowOverlap="1">
            <wp:simplePos x="0" y="0"/>
            <wp:positionH relativeFrom="page">
              <wp:posOffset>5972175</wp:posOffset>
            </wp:positionH>
            <wp:positionV relativeFrom="paragraph">
              <wp:posOffset>519430</wp:posOffset>
            </wp:positionV>
            <wp:extent cx="66675" cy="11747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6" cstate="print"/>
                    <a:stretch>
                      <a:fillRect/>
                    </a:stretch>
                  </pic:blipFill>
                  <pic:spPr>
                    <a:xfrm>
                      <a:off x="0" y="0"/>
                      <a:ext cx="66675" cy="117475"/>
                    </a:xfrm>
                    <a:prstGeom prst="rect">
                      <a:avLst/>
                    </a:prstGeom>
                  </pic:spPr>
                </pic:pic>
              </a:graphicData>
            </a:graphic>
          </wp:anchor>
        </w:drawing>
      </w:r>
      <w:r>
        <w:rPr>
          <w:color w:val="auto"/>
          <w:spacing w:val="3"/>
        </w:rPr>
        <w:t>参加《普通话》任选课学习并通过考试或自行参加普通话水平测试分数达二级乙等（80</w:t>
      </w:r>
      <w:r>
        <w:rPr>
          <w:color w:val="auto"/>
          <w:spacing w:val="-9"/>
        </w:rPr>
        <w:t xml:space="preserve"> 分</w:t>
      </w:r>
      <w:r>
        <w:rPr>
          <w:color w:val="auto"/>
        </w:rPr>
        <w:t>）</w:t>
      </w:r>
      <w:r>
        <w:rPr>
          <w:color w:val="auto"/>
          <w:spacing w:val="-3"/>
        </w:rPr>
        <w:t xml:space="preserve">及以上，可计 </w:t>
      </w:r>
      <w:r>
        <w:rPr>
          <w:color w:val="auto"/>
        </w:rPr>
        <w:t>1</w:t>
      </w:r>
      <w:r>
        <w:rPr>
          <w:color w:val="auto"/>
          <w:spacing w:val="-5"/>
        </w:rPr>
        <w:t xml:space="preserve"> 学分；根据《广西医科大学本科生课外素质教育奖励学分</w:t>
      </w:r>
      <w:r>
        <w:rPr>
          <w:color w:val="auto"/>
          <w:spacing w:val="-2"/>
        </w:rPr>
        <w:t>管理办法》，奖励学分可作为任选课学分记载，但不得超过任选课学分的</w:t>
      </w:r>
      <w:r>
        <w:rPr>
          <w:rFonts w:hint="eastAsia"/>
          <w:color w:val="auto"/>
          <w:spacing w:val="-2"/>
          <w:lang w:val="en-US" w:eastAsia="zh-CN"/>
        </w:rPr>
        <w:t xml:space="preserve"> 50%</w:t>
      </w:r>
      <w:r>
        <w:rPr>
          <w:color w:val="auto"/>
        </w:rPr>
        <w:t>。</w:t>
      </w:r>
    </w:p>
    <w:p>
      <w:pPr>
        <w:pStyle w:val="6"/>
        <w:pageBreakBefore w:val="0"/>
        <w:kinsoku/>
        <w:wordWrap/>
        <w:overflowPunct/>
        <w:topLinePunct w:val="0"/>
        <w:bidi w:val="0"/>
        <w:adjustRightInd/>
        <w:snapToGrid/>
        <w:spacing w:before="67" w:line="288" w:lineRule="auto"/>
        <w:ind w:left="838"/>
        <w:textAlignment w:val="auto"/>
        <w:rPr>
          <w:color w:val="auto"/>
        </w:rPr>
      </w:pPr>
      <w:r>
        <w:rPr>
          <w:color w:val="auto"/>
        </w:rPr>
        <w:t>（四）毕业实习（52周、48学分）</w:t>
      </w:r>
    </w:p>
    <w:p>
      <w:pPr>
        <w:pStyle w:val="6"/>
        <w:pageBreakBefore w:val="0"/>
        <w:kinsoku/>
        <w:wordWrap/>
        <w:overflowPunct/>
        <w:topLinePunct w:val="0"/>
        <w:bidi w:val="0"/>
        <w:adjustRightInd/>
        <w:snapToGrid/>
        <w:spacing w:before="67" w:line="288" w:lineRule="auto"/>
        <w:ind w:left="838"/>
        <w:textAlignment w:val="auto"/>
        <w:rPr>
          <w:color w:val="auto"/>
        </w:rPr>
      </w:pPr>
      <w:r>
        <w:rPr>
          <w:rFonts w:hint="eastAsia"/>
          <w:color w:val="auto"/>
          <w:lang w:val="en-US"/>
        </w:rPr>
        <w:t>1.</w:t>
      </w:r>
      <w:r>
        <w:rPr>
          <w:color w:val="auto"/>
        </w:rPr>
        <w:t>必修实习科目（共</w:t>
      </w:r>
      <w:r>
        <w:rPr>
          <w:rFonts w:hint="eastAsia"/>
          <w:color w:val="auto"/>
          <w:lang w:val="en-US" w:eastAsia="zh-CN"/>
        </w:rPr>
        <w:t xml:space="preserve"> 10</w:t>
      </w:r>
      <w:bookmarkStart w:id="3" w:name="_GoBack"/>
      <w:bookmarkEnd w:id="3"/>
      <w:r>
        <w:rPr>
          <w:rFonts w:hint="eastAsia"/>
          <w:color w:val="auto"/>
          <w:lang w:val="en-US"/>
        </w:rPr>
        <w:t xml:space="preserve"> </w:t>
      </w:r>
      <w:r>
        <w:rPr>
          <w:color w:val="auto"/>
        </w:rPr>
        <w:t>门</w:t>
      </w:r>
      <w:r>
        <w:rPr>
          <w:rFonts w:hint="eastAsia"/>
          <w:color w:val="auto"/>
          <w:lang w:eastAsia="zh-CN"/>
        </w:rPr>
        <w:t>，</w:t>
      </w:r>
      <w:r>
        <w:rPr>
          <w:color w:val="auto"/>
        </w:rPr>
        <w:t>47</w:t>
      </w:r>
      <w:r>
        <w:rPr>
          <w:rFonts w:hint="eastAsia"/>
          <w:color w:val="auto"/>
          <w:lang w:val="en-US"/>
        </w:rPr>
        <w:t xml:space="preserve"> </w:t>
      </w:r>
      <w:r>
        <w:rPr>
          <w:color w:val="auto"/>
        </w:rPr>
        <w:t>周</w:t>
      </w:r>
      <w:r>
        <w:rPr>
          <w:rFonts w:hint="eastAsia"/>
          <w:color w:val="auto"/>
          <w:lang w:eastAsia="zh-CN"/>
        </w:rPr>
        <w:t>，</w:t>
      </w:r>
      <w:r>
        <w:rPr>
          <w:color w:val="auto"/>
        </w:rPr>
        <w:t>47</w:t>
      </w:r>
      <w:r>
        <w:rPr>
          <w:rFonts w:hint="eastAsia"/>
          <w:color w:val="auto"/>
          <w:lang w:val="en-US"/>
        </w:rPr>
        <w:t xml:space="preserve"> </w:t>
      </w:r>
      <w:r>
        <w:rPr>
          <w:color w:val="auto"/>
        </w:rPr>
        <w:t>学分）</w:t>
      </w:r>
    </w:p>
    <w:tbl>
      <w:tblPr>
        <w:tblStyle w:val="12"/>
        <w:tblW w:w="0" w:type="auto"/>
        <w:jc w:val="center"/>
        <w:tblLayout w:type="fixed"/>
        <w:tblCellMar>
          <w:top w:w="0" w:type="dxa"/>
          <w:left w:w="0" w:type="dxa"/>
          <w:bottom w:w="0" w:type="dxa"/>
          <w:right w:w="0" w:type="dxa"/>
        </w:tblCellMar>
      </w:tblPr>
      <w:tblGrid>
        <w:gridCol w:w="2082"/>
        <w:gridCol w:w="709"/>
        <w:gridCol w:w="1025"/>
        <w:gridCol w:w="750"/>
        <w:gridCol w:w="2216"/>
        <w:gridCol w:w="884"/>
        <w:gridCol w:w="962"/>
      </w:tblGrid>
      <w:tr>
        <w:tblPrEx>
          <w:tblCellMar>
            <w:top w:w="0" w:type="dxa"/>
            <w:left w:w="0" w:type="dxa"/>
            <w:bottom w:w="0" w:type="dxa"/>
            <w:right w:w="0" w:type="dxa"/>
          </w:tblCellMar>
        </w:tblPrEx>
        <w:trPr>
          <w:trHeight w:val="283" w:hRule="atLeast"/>
          <w:jc w:val="center"/>
        </w:trPr>
        <w:tc>
          <w:tcPr>
            <w:tcW w:w="2082"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科目名称</w:t>
            </w:r>
          </w:p>
        </w:tc>
        <w:tc>
          <w:tcPr>
            <w:tcW w:w="709"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周</w:t>
            </w:r>
          </w:p>
        </w:tc>
        <w:tc>
          <w:tcPr>
            <w:tcW w:w="1025"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学分</w:t>
            </w:r>
          </w:p>
        </w:tc>
        <w:tc>
          <w:tcPr>
            <w:tcW w:w="750"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left="285" w:right="885"/>
              <w:jc w:val="center"/>
              <w:textAlignment w:val="auto"/>
              <w:rPr>
                <w:rFonts w:hint="eastAsia" w:ascii="宋体" w:hAnsi="宋体" w:eastAsia="宋体" w:cs="宋体"/>
                <w:color w:val="auto"/>
                <w:sz w:val="24"/>
                <w:szCs w:val="24"/>
              </w:rPr>
            </w:pPr>
          </w:p>
        </w:tc>
        <w:tc>
          <w:tcPr>
            <w:tcW w:w="2216"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科目名称</w:t>
            </w:r>
          </w:p>
        </w:tc>
        <w:tc>
          <w:tcPr>
            <w:tcW w:w="884"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周</w:t>
            </w:r>
          </w:p>
        </w:tc>
        <w:tc>
          <w:tcPr>
            <w:tcW w:w="962"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学分</w:t>
            </w:r>
          </w:p>
        </w:tc>
      </w:tr>
      <w:tr>
        <w:tblPrEx>
          <w:tblCellMar>
            <w:top w:w="0" w:type="dxa"/>
            <w:left w:w="0" w:type="dxa"/>
            <w:bottom w:w="0" w:type="dxa"/>
            <w:right w:w="0" w:type="dxa"/>
          </w:tblCellMar>
        </w:tblPrEx>
        <w:trPr>
          <w:trHeight w:val="283" w:hRule="atLeast"/>
          <w:jc w:val="center"/>
        </w:trPr>
        <w:tc>
          <w:tcPr>
            <w:tcW w:w="2082" w:type="dxa"/>
            <w:tcBorders>
              <w:top w:val="single" w:color="000000" w:sz="4" w:space="0"/>
              <w:bottom w:val="nil"/>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内科</w:t>
            </w:r>
          </w:p>
        </w:tc>
        <w:tc>
          <w:tcPr>
            <w:tcW w:w="709" w:type="dxa"/>
            <w:tcBorders>
              <w:top w:val="single" w:color="000000" w:sz="4" w:space="0"/>
              <w:bottom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13</w:t>
            </w:r>
          </w:p>
        </w:tc>
        <w:tc>
          <w:tcPr>
            <w:tcW w:w="1025" w:type="dxa"/>
            <w:tcBorders>
              <w:top w:val="single" w:color="000000" w:sz="4" w:space="0"/>
              <w:bottom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13</w:t>
            </w:r>
          </w:p>
        </w:tc>
        <w:tc>
          <w:tcPr>
            <w:tcW w:w="750" w:type="dxa"/>
            <w:tcBorders>
              <w:top w:val="single" w:color="000000" w:sz="4" w:space="0"/>
              <w:bottom w:val="nil"/>
            </w:tcBorders>
            <w:vAlign w:val="center"/>
          </w:tcPr>
          <w:p>
            <w:pPr>
              <w:pStyle w:val="17"/>
              <w:pageBreakBefore w:val="0"/>
              <w:kinsoku/>
              <w:wordWrap/>
              <w:overflowPunct/>
              <w:topLinePunct w:val="0"/>
              <w:bidi w:val="0"/>
              <w:adjustRightInd/>
              <w:snapToGrid/>
              <w:spacing w:before="3" w:line="288" w:lineRule="auto"/>
              <w:ind w:left="281" w:right="885"/>
              <w:jc w:val="center"/>
              <w:textAlignment w:val="auto"/>
              <w:rPr>
                <w:rFonts w:hint="eastAsia" w:ascii="宋体" w:hAnsi="宋体" w:eastAsia="宋体" w:cs="宋体"/>
                <w:color w:val="auto"/>
                <w:sz w:val="24"/>
                <w:szCs w:val="24"/>
              </w:rPr>
            </w:pPr>
          </w:p>
        </w:tc>
        <w:tc>
          <w:tcPr>
            <w:tcW w:w="2216" w:type="dxa"/>
            <w:tcBorders>
              <w:top w:val="single" w:color="000000" w:sz="4" w:space="0"/>
              <w:bottom w:val="nil"/>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外科</w:t>
            </w:r>
          </w:p>
        </w:tc>
        <w:tc>
          <w:tcPr>
            <w:tcW w:w="884" w:type="dxa"/>
            <w:tcBorders>
              <w:top w:val="single" w:color="000000" w:sz="4" w:space="0"/>
              <w:bottom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12</w:t>
            </w:r>
          </w:p>
        </w:tc>
        <w:tc>
          <w:tcPr>
            <w:tcW w:w="962" w:type="dxa"/>
            <w:tcBorders>
              <w:top w:val="single" w:color="000000" w:sz="4" w:space="0"/>
              <w:bottom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12</w:t>
            </w:r>
          </w:p>
        </w:tc>
      </w:tr>
      <w:tr>
        <w:trPr>
          <w:trHeight w:val="283" w:hRule="atLeast"/>
          <w:jc w:val="center"/>
        </w:trPr>
        <w:tc>
          <w:tcPr>
            <w:tcW w:w="208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rPr>
              <w:t>心血管内科</w:t>
            </w:r>
          </w:p>
        </w:tc>
        <w:tc>
          <w:tcPr>
            <w:tcW w:w="709"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1025"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750"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p>
        </w:tc>
        <w:tc>
          <w:tcPr>
            <w:tcW w:w="2216"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肝胆外科</w:t>
            </w:r>
          </w:p>
        </w:tc>
        <w:tc>
          <w:tcPr>
            <w:tcW w:w="884"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96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r>
      <w:tr>
        <w:trPr>
          <w:trHeight w:val="283" w:hRule="atLeast"/>
          <w:jc w:val="center"/>
        </w:trPr>
        <w:tc>
          <w:tcPr>
            <w:tcW w:w="208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消化内科</w:t>
            </w:r>
          </w:p>
        </w:tc>
        <w:tc>
          <w:tcPr>
            <w:tcW w:w="709"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1025"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750"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p>
        </w:tc>
        <w:tc>
          <w:tcPr>
            <w:tcW w:w="2216"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胃肠外科</w:t>
            </w:r>
          </w:p>
        </w:tc>
        <w:tc>
          <w:tcPr>
            <w:tcW w:w="884"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96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r>
      <w:tr>
        <w:trPr>
          <w:trHeight w:val="283" w:hRule="atLeast"/>
          <w:jc w:val="center"/>
        </w:trPr>
        <w:tc>
          <w:tcPr>
            <w:tcW w:w="208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呼吸内科</w:t>
            </w:r>
          </w:p>
        </w:tc>
        <w:tc>
          <w:tcPr>
            <w:tcW w:w="709"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1025"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3</w:t>
            </w:r>
          </w:p>
        </w:tc>
        <w:tc>
          <w:tcPr>
            <w:tcW w:w="750"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p>
        </w:tc>
        <w:tc>
          <w:tcPr>
            <w:tcW w:w="2216"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cs="宋体"/>
                <w:color w:val="auto"/>
                <w:sz w:val="24"/>
                <w:szCs w:val="24"/>
                <w:lang w:val="en-US" w:eastAsia="zh-CN"/>
              </w:rPr>
              <w:t xml:space="preserve">    </w:t>
            </w:r>
            <w:r>
              <w:rPr>
                <w:rFonts w:hint="eastAsia" w:ascii="宋体" w:hAnsi="宋体" w:eastAsia="宋体" w:cs="宋体"/>
                <w:color w:val="auto"/>
                <w:sz w:val="24"/>
                <w:szCs w:val="24"/>
                <w:lang w:val="en-US"/>
              </w:rPr>
              <w:t>其他普通外科</w:t>
            </w:r>
          </w:p>
        </w:tc>
        <w:tc>
          <w:tcPr>
            <w:tcW w:w="884"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962" w:type="dxa"/>
            <w:tcBorders>
              <w:top w:val="nil"/>
              <w:left w:val="nil"/>
              <w:bottom w:val="nil"/>
              <w:right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r>
      <w:tr>
        <w:trPr>
          <w:trHeight w:val="283" w:hRule="atLeast"/>
          <w:jc w:val="center"/>
        </w:trPr>
        <w:tc>
          <w:tcPr>
            <w:tcW w:w="2082"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其他内科</w:t>
            </w:r>
          </w:p>
        </w:tc>
        <w:tc>
          <w:tcPr>
            <w:tcW w:w="709"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4</w:t>
            </w:r>
          </w:p>
        </w:tc>
        <w:tc>
          <w:tcPr>
            <w:tcW w:w="1025"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4</w:t>
            </w:r>
          </w:p>
        </w:tc>
        <w:tc>
          <w:tcPr>
            <w:tcW w:w="750"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p>
        </w:tc>
        <w:tc>
          <w:tcPr>
            <w:tcW w:w="2216"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其他外科</w:t>
            </w:r>
          </w:p>
        </w:tc>
        <w:tc>
          <w:tcPr>
            <w:tcW w:w="884"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c>
          <w:tcPr>
            <w:tcW w:w="962" w:type="dxa"/>
            <w:tcBorders>
              <w:top w:val="nil"/>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r>
      <w:tr>
        <w:trPr>
          <w:trHeight w:val="283" w:hRule="atLeast"/>
          <w:jc w:val="center"/>
        </w:trPr>
        <w:tc>
          <w:tcPr>
            <w:tcW w:w="2082"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妇产科</w:t>
            </w:r>
          </w:p>
        </w:tc>
        <w:tc>
          <w:tcPr>
            <w:tcW w:w="709"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c>
          <w:tcPr>
            <w:tcW w:w="1025"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c>
          <w:tcPr>
            <w:tcW w:w="750" w:type="dxa"/>
            <w:vAlign w:val="center"/>
          </w:tcPr>
          <w:p>
            <w:pPr>
              <w:pStyle w:val="17"/>
              <w:pageBreakBefore w:val="0"/>
              <w:kinsoku/>
              <w:wordWrap/>
              <w:overflowPunct/>
              <w:topLinePunct w:val="0"/>
              <w:bidi w:val="0"/>
              <w:adjustRightInd/>
              <w:snapToGrid/>
              <w:spacing w:before="1" w:line="288" w:lineRule="auto"/>
              <w:ind w:right="604"/>
              <w:jc w:val="center"/>
              <w:textAlignment w:val="auto"/>
              <w:rPr>
                <w:rFonts w:hint="eastAsia" w:ascii="宋体" w:hAnsi="宋体" w:eastAsia="宋体" w:cs="宋体"/>
                <w:color w:val="auto"/>
                <w:sz w:val="24"/>
                <w:szCs w:val="24"/>
              </w:rPr>
            </w:pPr>
          </w:p>
        </w:tc>
        <w:tc>
          <w:tcPr>
            <w:tcW w:w="2216"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儿科</w:t>
            </w:r>
          </w:p>
        </w:tc>
        <w:tc>
          <w:tcPr>
            <w:tcW w:w="884"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c>
          <w:tcPr>
            <w:tcW w:w="962"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6</w:t>
            </w:r>
          </w:p>
        </w:tc>
      </w:tr>
      <w:tr>
        <w:trPr>
          <w:trHeight w:val="283" w:hRule="atLeast"/>
          <w:jc w:val="center"/>
        </w:trPr>
        <w:tc>
          <w:tcPr>
            <w:tcW w:w="2082"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cs="宋体"/>
                <w:color w:val="auto"/>
                <w:sz w:val="24"/>
                <w:szCs w:val="24"/>
                <w:lang w:val="en-US" w:eastAsia="zh-CN"/>
              </w:rPr>
              <w:t>感染性疾</w:t>
            </w:r>
            <w:r>
              <w:rPr>
                <w:rFonts w:hint="eastAsia" w:ascii="宋体" w:hAnsi="宋体" w:eastAsia="宋体" w:cs="宋体"/>
                <w:color w:val="auto"/>
                <w:sz w:val="24"/>
                <w:szCs w:val="24"/>
              </w:rPr>
              <w:t>病科</w:t>
            </w:r>
          </w:p>
        </w:tc>
        <w:tc>
          <w:tcPr>
            <w:tcW w:w="709"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1025"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750" w:type="dxa"/>
            <w:vAlign w:val="center"/>
          </w:tcPr>
          <w:p>
            <w:pPr>
              <w:pStyle w:val="17"/>
              <w:pageBreakBefore w:val="0"/>
              <w:kinsoku/>
              <w:wordWrap/>
              <w:overflowPunct/>
              <w:topLinePunct w:val="0"/>
              <w:bidi w:val="0"/>
              <w:adjustRightInd/>
              <w:snapToGrid/>
              <w:spacing w:before="2" w:line="288" w:lineRule="auto"/>
              <w:ind w:right="604"/>
              <w:jc w:val="center"/>
              <w:textAlignment w:val="auto"/>
              <w:rPr>
                <w:rFonts w:hint="eastAsia" w:ascii="宋体" w:hAnsi="宋体" w:eastAsia="宋体" w:cs="宋体"/>
                <w:color w:val="auto"/>
                <w:sz w:val="24"/>
                <w:szCs w:val="24"/>
              </w:rPr>
            </w:pPr>
          </w:p>
        </w:tc>
        <w:tc>
          <w:tcPr>
            <w:tcW w:w="2216"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神经</w:t>
            </w:r>
            <w:r>
              <w:rPr>
                <w:rFonts w:hint="eastAsia" w:cs="宋体"/>
                <w:color w:val="auto"/>
                <w:sz w:val="24"/>
                <w:szCs w:val="24"/>
                <w:lang w:val="en-US" w:eastAsia="zh-CN"/>
              </w:rPr>
              <w:t>内</w:t>
            </w:r>
            <w:r>
              <w:rPr>
                <w:rFonts w:hint="eastAsia" w:ascii="宋体" w:hAnsi="宋体" w:eastAsia="宋体" w:cs="宋体"/>
                <w:color w:val="auto"/>
                <w:sz w:val="24"/>
                <w:szCs w:val="24"/>
              </w:rPr>
              <w:t>科</w:t>
            </w:r>
          </w:p>
        </w:tc>
        <w:tc>
          <w:tcPr>
            <w:tcW w:w="884"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962"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r>
      <w:tr>
        <w:trPr>
          <w:trHeight w:val="283" w:hRule="atLeast"/>
          <w:jc w:val="center"/>
        </w:trPr>
        <w:tc>
          <w:tcPr>
            <w:tcW w:w="2082"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急诊科</w:t>
            </w:r>
          </w:p>
        </w:tc>
        <w:tc>
          <w:tcPr>
            <w:tcW w:w="709"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1025"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750" w:type="dxa"/>
            <w:vAlign w:val="center"/>
          </w:tcPr>
          <w:p>
            <w:pPr>
              <w:pStyle w:val="17"/>
              <w:pageBreakBefore w:val="0"/>
              <w:kinsoku/>
              <w:wordWrap/>
              <w:overflowPunct/>
              <w:topLinePunct w:val="0"/>
              <w:bidi w:val="0"/>
              <w:adjustRightInd/>
              <w:snapToGrid/>
              <w:spacing w:before="1" w:line="288" w:lineRule="auto"/>
              <w:ind w:right="604"/>
              <w:jc w:val="center"/>
              <w:textAlignment w:val="auto"/>
              <w:rPr>
                <w:rFonts w:hint="eastAsia" w:ascii="宋体" w:hAnsi="宋体" w:eastAsia="宋体" w:cs="宋体"/>
                <w:color w:val="auto"/>
                <w:sz w:val="24"/>
                <w:szCs w:val="24"/>
              </w:rPr>
            </w:pPr>
          </w:p>
        </w:tc>
        <w:tc>
          <w:tcPr>
            <w:tcW w:w="2216"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岗前培训</w:t>
            </w:r>
          </w:p>
        </w:tc>
        <w:tc>
          <w:tcPr>
            <w:tcW w:w="884"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w:t>
            </w:r>
          </w:p>
        </w:tc>
        <w:tc>
          <w:tcPr>
            <w:tcW w:w="962" w:type="dxa"/>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w:t>
            </w:r>
          </w:p>
        </w:tc>
      </w:tr>
      <w:tr>
        <w:trPr>
          <w:trHeight w:val="283" w:hRule="atLeast"/>
          <w:jc w:val="center"/>
        </w:trPr>
        <w:tc>
          <w:tcPr>
            <w:tcW w:w="2082" w:type="dxa"/>
            <w:tcBorders>
              <w:bottom w:val="single" w:color="000000" w:sz="4" w:space="0"/>
            </w:tcBorders>
            <w:vAlign w:val="center"/>
          </w:tcPr>
          <w:p>
            <w:pPr>
              <w:pStyle w:val="17"/>
              <w:pageBreakBefore w:val="0"/>
              <w:kinsoku/>
              <w:wordWrap/>
              <w:overflowPunct/>
              <w:topLinePunct w:val="0"/>
              <w:bidi w:val="0"/>
              <w:adjustRightInd/>
              <w:snapToGrid/>
              <w:spacing w:before="2"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社区卫生</w:t>
            </w:r>
          </w:p>
        </w:tc>
        <w:tc>
          <w:tcPr>
            <w:tcW w:w="709" w:type="dxa"/>
            <w:tcBorders>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1025" w:type="dxa"/>
            <w:tcBorders>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2</w:t>
            </w:r>
          </w:p>
        </w:tc>
        <w:tc>
          <w:tcPr>
            <w:tcW w:w="750" w:type="dxa"/>
            <w:tcBorders>
              <w:bottom w:val="single" w:color="000000" w:sz="4" w:space="0"/>
            </w:tcBorders>
            <w:vAlign w:val="center"/>
          </w:tcPr>
          <w:p>
            <w:pPr>
              <w:pStyle w:val="17"/>
              <w:pageBreakBefore w:val="0"/>
              <w:kinsoku/>
              <w:wordWrap/>
              <w:overflowPunct/>
              <w:topLinePunct w:val="0"/>
              <w:bidi w:val="0"/>
              <w:adjustRightInd/>
              <w:snapToGrid/>
              <w:spacing w:before="2" w:line="288" w:lineRule="auto"/>
              <w:ind w:right="604"/>
              <w:jc w:val="center"/>
              <w:textAlignment w:val="auto"/>
              <w:rPr>
                <w:rFonts w:hint="eastAsia" w:ascii="宋体" w:hAnsi="宋体" w:eastAsia="宋体" w:cs="宋体"/>
                <w:color w:val="auto"/>
                <w:sz w:val="24"/>
                <w:szCs w:val="24"/>
              </w:rPr>
            </w:pPr>
          </w:p>
        </w:tc>
        <w:tc>
          <w:tcPr>
            <w:tcW w:w="2216" w:type="dxa"/>
            <w:tcBorders>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中医科</w:t>
            </w:r>
          </w:p>
        </w:tc>
        <w:tc>
          <w:tcPr>
            <w:tcW w:w="884" w:type="dxa"/>
            <w:tcBorders>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w:t>
            </w:r>
          </w:p>
        </w:tc>
        <w:tc>
          <w:tcPr>
            <w:tcW w:w="962" w:type="dxa"/>
            <w:tcBorders>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1</w:t>
            </w:r>
          </w:p>
        </w:tc>
      </w:tr>
    </w:tbl>
    <w:p>
      <w:pPr>
        <w:pStyle w:val="6"/>
        <w:pageBreakBefore w:val="0"/>
        <w:kinsoku/>
        <w:wordWrap/>
        <w:overflowPunct/>
        <w:topLinePunct w:val="0"/>
        <w:bidi w:val="0"/>
        <w:adjustRightInd/>
        <w:snapToGrid/>
        <w:spacing w:before="67" w:line="288" w:lineRule="auto"/>
        <w:ind w:left="838"/>
        <w:textAlignment w:val="auto"/>
        <w:rPr>
          <w:color w:val="auto"/>
          <w:lang w:val="en-US"/>
        </w:rPr>
      </w:pPr>
      <w:r>
        <w:rPr>
          <w:rFonts w:hint="eastAsia"/>
          <w:color w:val="auto"/>
          <w:lang w:val="en-US"/>
        </w:rPr>
        <w:t>2.选修实习科目（选</w:t>
      </w:r>
      <w:r>
        <w:rPr>
          <w:rFonts w:hint="eastAsia"/>
          <w:color w:val="auto"/>
          <w:lang w:val="en-US" w:eastAsia="zh-CN"/>
        </w:rPr>
        <w:t xml:space="preserve"> </w:t>
      </w:r>
      <w:r>
        <w:rPr>
          <w:rFonts w:hint="eastAsia"/>
          <w:color w:val="auto"/>
          <w:lang w:val="en-US"/>
        </w:rPr>
        <w:t>1 门，1 周，1 学分）</w:t>
      </w:r>
    </w:p>
    <w:tbl>
      <w:tblPr>
        <w:tblStyle w:val="12"/>
        <w:tblW w:w="8567" w:type="dxa"/>
        <w:jc w:val="center"/>
        <w:tblLayout w:type="fixed"/>
        <w:tblCellMar>
          <w:top w:w="0" w:type="dxa"/>
          <w:left w:w="0" w:type="dxa"/>
          <w:bottom w:w="0" w:type="dxa"/>
          <w:right w:w="0" w:type="dxa"/>
        </w:tblCellMar>
      </w:tblPr>
      <w:tblGrid>
        <w:gridCol w:w="2192"/>
        <w:gridCol w:w="587"/>
        <w:gridCol w:w="994"/>
        <w:gridCol w:w="788"/>
        <w:gridCol w:w="2203"/>
        <w:gridCol w:w="915"/>
        <w:gridCol w:w="888"/>
      </w:tblGrid>
      <w:tr>
        <w:trPr>
          <w:trHeight w:val="283" w:hRule="atLeast"/>
          <w:jc w:val="center"/>
        </w:trPr>
        <w:tc>
          <w:tcPr>
            <w:tcW w:w="2192"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科目名称</w:t>
            </w:r>
          </w:p>
        </w:tc>
        <w:tc>
          <w:tcPr>
            <w:tcW w:w="587"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周</w:t>
            </w:r>
          </w:p>
        </w:tc>
        <w:tc>
          <w:tcPr>
            <w:tcW w:w="994"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rPr>
              <w:t>学</w:t>
            </w:r>
            <w:r>
              <w:rPr>
                <w:rFonts w:hint="eastAsia" w:ascii="宋体" w:hAnsi="宋体" w:eastAsia="宋体" w:cs="宋体"/>
                <w:color w:val="auto"/>
                <w:sz w:val="24"/>
                <w:szCs w:val="24"/>
                <w:lang w:val="en-US" w:eastAsia="zh-CN"/>
              </w:rPr>
              <w:t>分</w:t>
            </w:r>
          </w:p>
        </w:tc>
        <w:tc>
          <w:tcPr>
            <w:tcW w:w="788"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right="887"/>
              <w:jc w:val="center"/>
              <w:textAlignment w:val="auto"/>
              <w:rPr>
                <w:color w:val="auto"/>
                <w:sz w:val="24"/>
                <w:szCs w:val="24"/>
              </w:rPr>
            </w:pPr>
          </w:p>
        </w:tc>
        <w:tc>
          <w:tcPr>
            <w:tcW w:w="2203"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科目名称</w:t>
            </w:r>
          </w:p>
        </w:tc>
        <w:tc>
          <w:tcPr>
            <w:tcW w:w="915"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周</w:t>
            </w:r>
          </w:p>
        </w:tc>
        <w:tc>
          <w:tcPr>
            <w:tcW w:w="888" w:type="dxa"/>
            <w:tcBorders>
              <w:top w:val="single" w:color="000000" w:sz="4" w:space="0"/>
              <w:bottom w:val="single" w:color="000000" w:sz="4" w:space="0"/>
            </w:tcBorders>
            <w:vAlign w:val="center"/>
          </w:tcPr>
          <w:p>
            <w:pPr>
              <w:pStyle w:val="17"/>
              <w:pageBreakBefore w:val="0"/>
              <w:kinsoku/>
              <w:wordWrap/>
              <w:overflowPunct/>
              <w:topLinePunct w:val="0"/>
              <w:bidi w:val="0"/>
              <w:adjustRightInd/>
              <w:snapToGrid/>
              <w:spacing w:before="3" w:line="288" w:lineRule="auto"/>
              <w:ind w:left="122"/>
              <w:jc w:val="center"/>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学分</w:t>
            </w:r>
          </w:p>
        </w:tc>
      </w:tr>
      <w:tr>
        <w:tblPrEx>
          <w:tblCellMar>
            <w:top w:w="0" w:type="dxa"/>
            <w:left w:w="0" w:type="dxa"/>
            <w:bottom w:w="0" w:type="dxa"/>
            <w:right w:w="0" w:type="dxa"/>
          </w:tblCellMar>
        </w:tblPrEx>
        <w:trPr>
          <w:trHeight w:val="283" w:hRule="atLeast"/>
          <w:jc w:val="center"/>
        </w:trPr>
        <w:tc>
          <w:tcPr>
            <w:tcW w:w="2192" w:type="dxa"/>
            <w:tcBorders>
              <w:top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耳鼻咽喉</w:t>
            </w:r>
            <w:r>
              <w:rPr>
                <w:rFonts w:hint="eastAsia" w:ascii="宋体" w:hAnsi="宋体" w:eastAsia="宋体" w:cs="宋体"/>
                <w:color w:val="auto"/>
                <w:sz w:val="24"/>
                <w:szCs w:val="24"/>
                <w:lang w:val="en-US" w:eastAsia="zh-CN"/>
              </w:rPr>
              <w:t>头颈外</w:t>
            </w:r>
            <w:r>
              <w:rPr>
                <w:rFonts w:hint="eastAsia" w:ascii="宋体" w:hAnsi="宋体" w:eastAsia="宋体" w:cs="宋体"/>
                <w:color w:val="auto"/>
                <w:sz w:val="24"/>
                <w:szCs w:val="24"/>
              </w:rPr>
              <w:t>科</w:t>
            </w:r>
          </w:p>
        </w:tc>
        <w:tc>
          <w:tcPr>
            <w:tcW w:w="587"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994"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788" w:type="dxa"/>
            <w:tcBorders>
              <w:top w:val="single" w:color="000000" w:sz="4" w:space="0"/>
            </w:tcBorders>
            <w:vAlign w:val="center"/>
          </w:tcPr>
          <w:p>
            <w:pPr>
              <w:pStyle w:val="17"/>
              <w:pageBreakBefore w:val="0"/>
              <w:kinsoku/>
              <w:wordWrap/>
              <w:overflowPunct/>
              <w:topLinePunct w:val="0"/>
              <w:bidi w:val="0"/>
              <w:adjustRightInd/>
              <w:snapToGrid/>
              <w:spacing w:before="1" w:line="288" w:lineRule="auto"/>
              <w:ind w:right="607"/>
              <w:jc w:val="center"/>
              <w:textAlignment w:val="auto"/>
              <w:rPr>
                <w:color w:val="auto"/>
                <w:sz w:val="24"/>
                <w:szCs w:val="24"/>
              </w:rPr>
            </w:pPr>
          </w:p>
        </w:tc>
        <w:tc>
          <w:tcPr>
            <w:tcW w:w="2203" w:type="dxa"/>
            <w:tcBorders>
              <w:top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Style w:val="14"/>
                <w:rFonts w:hint="eastAsia" w:ascii="宋体" w:hAnsi="宋体"/>
                <w:b w:val="0"/>
                <w:color w:val="auto"/>
                <w:sz w:val="24"/>
              </w:rPr>
              <w:t>心电</w:t>
            </w:r>
            <w:r>
              <w:rPr>
                <w:rStyle w:val="14"/>
                <w:rFonts w:hint="eastAsia" w:ascii="宋体" w:hAnsi="宋体"/>
                <w:b w:val="0"/>
                <w:color w:val="auto"/>
                <w:sz w:val="24"/>
                <w:lang w:val="en-US" w:eastAsia="zh-CN"/>
              </w:rPr>
              <w:t>诊断科</w:t>
            </w:r>
          </w:p>
        </w:tc>
        <w:tc>
          <w:tcPr>
            <w:tcW w:w="915"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c>
          <w:tcPr>
            <w:tcW w:w="888"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r>
      <w:tr>
        <w:tblPrEx>
          <w:tblCellMar>
            <w:top w:w="0" w:type="dxa"/>
            <w:left w:w="0" w:type="dxa"/>
            <w:bottom w:w="0" w:type="dxa"/>
            <w:right w:w="0" w:type="dxa"/>
          </w:tblCellMar>
        </w:tblPrEx>
        <w:trPr>
          <w:trHeight w:val="283" w:hRule="atLeast"/>
          <w:jc w:val="center"/>
        </w:trPr>
        <w:tc>
          <w:tcPr>
            <w:tcW w:w="2192"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超</w:t>
            </w:r>
            <w:r>
              <w:rPr>
                <w:rFonts w:hint="eastAsia" w:ascii="宋体" w:hAnsi="宋体" w:eastAsia="宋体" w:cs="宋体"/>
                <w:color w:val="auto"/>
                <w:sz w:val="24"/>
                <w:szCs w:val="24"/>
                <w:lang w:val="en-US"/>
              </w:rPr>
              <w:t>声</w:t>
            </w:r>
            <w:r>
              <w:rPr>
                <w:rFonts w:hint="eastAsia" w:ascii="宋体" w:hAnsi="宋体" w:eastAsia="宋体" w:cs="宋体"/>
                <w:color w:val="auto"/>
                <w:sz w:val="24"/>
                <w:szCs w:val="24"/>
                <w:lang w:val="en-US" w:eastAsia="zh-CN"/>
              </w:rPr>
              <w:t>医学</w:t>
            </w:r>
            <w:r>
              <w:rPr>
                <w:rFonts w:hint="eastAsia" w:ascii="宋体" w:hAnsi="宋体" w:eastAsia="宋体" w:cs="宋体"/>
                <w:color w:val="auto"/>
                <w:sz w:val="24"/>
                <w:szCs w:val="24"/>
                <w:lang w:val="en-US"/>
              </w:rPr>
              <w:t>科</w:t>
            </w:r>
          </w:p>
        </w:tc>
        <w:tc>
          <w:tcPr>
            <w:tcW w:w="587"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994"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788" w:type="dxa"/>
            <w:vAlign w:val="center"/>
          </w:tcPr>
          <w:p>
            <w:pPr>
              <w:pStyle w:val="17"/>
              <w:pageBreakBefore w:val="0"/>
              <w:kinsoku/>
              <w:wordWrap/>
              <w:overflowPunct/>
              <w:topLinePunct w:val="0"/>
              <w:bidi w:val="0"/>
              <w:adjustRightInd/>
              <w:snapToGrid/>
              <w:spacing w:before="1" w:line="288" w:lineRule="auto"/>
              <w:ind w:right="607"/>
              <w:jc w:val="center"/>
              <w:textAlignment w:val="auto"/>
              <w:rPr>
                <w:color w:val="auto"/>
                <w:sz w:val="24"/>
                <w:szCs w:val="24"/>
              </w:rPr>
            </w:pPr>
          </w:p>
        </w:tc>
        <w:tc>
          <w:tcPr>
            <w:tcW w:w="2203"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皮肤</w:t>
            </w:r>
            <w:r>
              <w:rPr>
                <w:rFonts w:hint="eastAsia" w:ascii="宋体" w:hAnsi="宋体" w:eastAsia="宋体" w:cs="宋体"/>
                <w:color w:val="auto"/>
                <w:sz w:val="24"/>
                <w:szCs w:val="24"/>
                <w:lang w:val="en-US" w:eastAsia="zh-CN"/>
              </w:rPr>
              <w:t>性病</w:t>
            </w:r>
            <w:r>
              <w:rPr>
                <w:rFonts w:hint="eastAsia" w:ascii="宋体" w:hAnsi="宋体" w:eastAsia="宋体" w:cs="宋体"/>
                <w:color w:val="auto"/>
                <w:sz w:val="24"/>
                <w:szCs w:val="24"/>
              </w:rPr>
              <w:t>科</w:t>
            </w:r>
          </w:p>
        </w:tc>
        <w:tc>
          <w:tcPr>
            <w:tcW w:w="915"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c>
          <w:tcPr>
            <w:tcW w:w="88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r>
      <w:tr>
        <w:tblPrEx>
          <w:tblCellMar>
            <w:top w:w="0" w:type="dxa"/>
            <w:left w:w="0" w:type="dxa"/>
            <w:bottom w:w="0" w:type="dxa"/>
            <w:right w:w="0" w:type="dxa"/>
          </w:tblCellMar>
        </w:tblPrEx>
        <w:trPr>
          <w:trHeight w:val="283" w:hRule="atLeast"/>
          <w:jc w:val="center"/>
        </w:trPr>
        <w:tc>
          <w:tcPr>
            <w:tcW w:w="2192"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眼科</w:t>
            </w:r>
          </w:p>
        </w:tc>
        <w:tc>
          <w:tcPr>
            <w:tcW w:w="587"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994"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kern w:val="2"/>
                <w:sz w:val="24"/>
                <w:szCs w:val="24"/>
                <w:lang w:val="en-US" w:bidi="ar-SA"/>
              </w:rPr>
            </w:pPr>
            <w:r>
              <w:rPr>
                <w:rStyle w:val="14"/>
                <w:rFonts w:hint="eastAsia" w:ascii="宋体" w:hAnsi="宋体"/>
                <w:b w:val="0"/>
                <w:color w:val="auto"/>
                <w:kern w:val="2"/>
                <w:sz w:val="24"/>
                <w:szCs w:val="24"/>
                <w:lang w:val="en-US" w:bidi="ar-SA"/>
              </w:rPr>
              <w:t>1</w:t>
            </w:r>
          </w:p>
        </w:tc>
        <w:tc>
          <w:tcPr>
            <w:tcW w:w="788" w:type="dxa"/>
            <w:vAlign w:val="center"/>
          </w:tcPr>
          <w:p>
            <w:pPr>
              <w:pStyle w:val="17"/>
              <w:pageBreakBefore w:val="0"/>
              <w:kinsoku/>
              <w:wordWrap/>
              <w:overflowPunct/>
              <w:topLinePunct w:val="0"/>
              <w:bidi w:val="0"/>
              <w:adjustRightInd/>
              <w:snapToGrid/>
              <w:spacing w:before="2" w:line="288" w:lineRule="auto"/>
              <w:ind w:right="607"/>
              <w:jc w:val="center"/>
              <w:textAlignment w:val="auto"/>
              <w:rPr>
                <w:color w:val="auto"/>
                <w:sz w:val="24"/>
                <w:szCs w:val="24"/>
              </w:rPr>
            </w:pPr>
          </w:p>
        </w:tc>
        <w:tc>
          <w:tcPr>
            <w:tcW w:w="2203" w:type="dxa"/>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放射科</w:t>
            </w:r>
          </w:p>
        </w:tc>
        <w:tc>
          <w:tcPr>
            <w:tcW w:w="915"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c>
          <w:tcPr>
            <w:tcW w:w="88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Theme="minorEastAsia"/>
                <w:b w:val="0"/>
                <w:color w:val="auto"/>
                <w:kern w:val="2"/>
                <w:sz w:val="24"/>
                <w:szCs w:val="24"/>
                <w:lang w:val="en-US" w:bidi="ar-SA"/>
              </w:rPr>
            </w:pPr>
            <w:r>
              <w:rPr>
                <w:rStyle w:val="14"/>
                <w:rFonts w:hint="eastAsia" w:ascii="宋体" w:hAnsi="宋体" w:eastAsiaTheme="minorEastAsia"/>
                <w:b w:val="0"/>
                <w:color w:val="auto"/>
                <w:kern w:val="2"/>
                <w:sz w:val="24"/>
                <w:szCs w:val="24"/>
                <w:lang w:val="en-US" w:bidi="ar-SA"/>
              </w:rPr>
              <w:t>1</w:t>
            </w:r>
          </w:p>
        </w:tc>
      </w:tr>
      <w:tr>
        <w:tblPrEx>
          <w:tblCellMar>
            <w:top w:w="0" w:type="dxa"/>
            <w:left w:w="0" w:type="dxa"/>
            <w:bottom w:w="0" w:type="dxa"/>
            <w:right w:w="0" w:type="dxa"/>
          </w:tblCellMar>
        </w:tblPrEx>
        <w:trPr>
          <w:trHeight w:val="283" w:hRule="atLeast"/>
          <w:jc w:val="center"/>
        </w:trPr>
        <w:tc>
          <w:tcPr>
            <w:tcW w:w="2192" w:type="dxa"/>
            <w:tcBorders>
              <w:bottom w:val="single" w:color="000000" w:sz="4" w:space="0"/>
            </w:tcBorders>
            <w:vAlign w:val="center"/>
          </w:tcPr>
          <w:p>
            <w:pPr>
              <w:pStyle w:val="17"/>
              <w:pageBreakBefore w:val="0"/>
              <w:kinsoku/>
              <w:wordWrap/>
              <w:overflowPunct/>
              <w:topLinePunct w:val="0"/>
              <w:bidi w:val="0"/>
              <w:adjustRightInd/>
              <w:snapToGrid/>
              <w:spacing w:before="1" w:line="288" w:lineRule="auto"/>
              <w:ind w:left="122"/>
              <w:jc w:val="left"/>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康复医学科</w:t>
            </w:r>
          </w:p>
        </w:tc>
        <w:tc>
          <w:tcPr>
            <w:tcW w:w="587"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b w:val="0"/>
                <w:color w:val="auto"/>
                <w:kern w:val="2"/>
                <w:sz w:val="24"/>
                <w:szCs w:val="24"/>
                <w:highlight w:val="none"/>
                <w:lang w:val="en-US" w:eastAsia="zh-CN" w:bidi="ar-SA"/>
              </w:rPr>
            </w:pPr>
            <w:r>
              <w:rPr>
                <w:rStyle w:val="14"/>
                <w:rFonts w:hint="eastAsia"/>
                <w:b w:val="0"/>
                <w:color w:val="auto"/>
                <w:kern w:val="2"/>
                <w:sz w:val="24"/>
                <w:szCs w:val="24"/>
                <w:highlight w:val="none"/>
                <w:lang w:val="en-US" w:eastAsia="zh-CN" w:bidi="ar-SA"/>
              </w:rPr>
              <w:t>1</w:t>
            </w:r>
          </w:p>
        </w:tc>
        <w:tc>
          <w:tcPr>
            <w:tcW w:w="994"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b w:val="0"/>
                <w:color w:val="auto"/>
                <w:kern w:val="2"/>
                <w:sz w:val="24"/>
                <w:szCs w:val="24"/>
                <w:highlight w:val="none"/>
                <w:lang w:val="en-US" w:eastAsia="zh-CN" w:bidi="ar-SA"/>
              </w:rPr>
            </w:pPr>
            <w:r>
              <w:rPr>
                <w:rStyle w:val="14"/>
                <w:rFonts w:hint="eastAsia"/>
                <w:b w:val="0"/>
                <w:color w:val="auto"/>
                <w:kern w:val="2"/>
                <w:sz w:val="24"/>
                <w:szCs w:val="24"/>
                <w:highlight w:val="none"/>
                <w:lang w:val="en-US" w:eastAsia="zh-CN" w:bidi="ar-SA"/>
              </w:rPr>
              <w:t>1</w:t>
            </w:r>
          </w:p>
        </w:tc>
        <w:tc>
          <w:tcPr>
            <w:tcW w:w="788" w:type="dxa"/>
            <w:tcBorders>
              <w:bottom w:val="single" w:color="000000" w:sz="4" w:space="0"/>
            </w:tcBorders>
            <w:vAlign w:val="center"/>
          </w:tcPr>
          <w:p>
            <w:pPr>
              <w:pStyle w:val="17"/>
              <w:pageBreakBefore w:val="0"/>
              <w:kinsoku/>
              <w:wordWrap/>
              <w:overflowPunct/>
              <w:topLinePunct w:val="0"/>
              <w:bidi w:val="0"/>
              <w:adjustRightInd/>
              <w:snapToGrid/>
              <w:spacing w:before="2" w:line="288" w:lineRule="auto"/>
              <w:ind w:right="607"/>
              <w:jc w:val="center"/>
              <w:textAlignment w:val="auto"/>
              <w:rPr>
                <w:color w:val="auto"/>
                <w:sz w:val="24"/>
                <w:szCs w:val="24"/>
              </w:rPr>
            </w:pPr>
          </w:p>
        </w:tc>
        <w:tc>
          <w:tcPr>
            <w:tcW w:w="2203"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hint="eastAsia" w:ascii="宋体" w:hAnsi="宋体" w:eastAsia="宋体" w:cs="Times New Roman"/>
                <w:b w:val="0"/>
                <w:bCs/>
                <w:color w:val="auto"/>
                <w:sz w:val="24"/>
                <w:szCs w:val="22"/>
                <w:highlight w:val="none"/>
                <w:lang w:val="en-US" w:eastAsia="zh-CN" w:bidi="zh-CN"/>
              </w:rPr>
            </w:pPr>
            <w:r>
              <w:rPr>
                <w:rStyle w:val="14"/>
                <w:rFonts w:hint="eastAsia"/>
                <w:b w:val="0"/>
                <w:color w:val="auto"/>
                <w:sz w:val="24"/>
                <w:highlight w:val="none"/>
                <w:lang w:val="en-US" w:eastAsia="zh-CN"/>
              </w:rPr>
              <w:t>老年</w:t>
            </w:r>
            <w:r>
              <w:rPr>
                <w:rStyle w:val="14"/>
                <w:rFonts w:hint="eastAsia" w:ascii="宋体" w:hAnsi="宋体"/>
                <w:b w:val="0"/>
                <w:color w:val="auto"/>
                <w:sz w:val="24"/>
                <w:highlight w:val="none"/>
                <w:lang w:val="en-US" w:eastAsia="zh-CN"/>
              </w:rPr>
              <w:t>医学科</w:t>
            </w:r>
          </w:p>
        </w:tc>
        <w:tc>
          <w:tcPr>
            <w:tcW w:w="915"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s="Times New Roman"/>
                <w:b w:val="0"/>
                <w:bCs/>
                <w:color w:val="auto"/>
                <w:sz w:val="24"/>
                <w:szCs w:val="22"/>
                <w:highlight w:val="none"/>
                <w:lang w:val="en-US" w:eastAsia="zh-CN" w:bidi="zh-CN"/>
              </w:rPr>
            </w:pPr>
            <w:r>
              <w:rPr>
                <w:rStyle w:val="14"/>
                <w:rFonts w:hint="eastAsia" w:ascii="宋体" w:hAnsi="宋体"/>
                <w:b w:val="0"/>
                <w:color w:val="auto"/>
                <w:sz w:val="24"/>
                <w:highlight w:val="none"/>
                <w:lang w:val="en-US" w:eastAsia="zh-CN"/>
              </w:rPr>
              <w:t>1</w:t>
            </w:r>
          </w:p>
        </w:tc>
        <w:tc>
          <w:tcPr>
            <w:tcW w:w="888"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s="Times New Roman"/>
                <w:b w:val="0"/>
                <w:bCs/>
                <w:color w:val="auto"/>
                <w:sz w:val="24"/>
                <w:szCs w:val="22"/>
                <w:highlight w:val="none"/>
                <w:lang w:val="en-US" w:eastAsia="zh-CN" w:bidi="zh-CN"/>
              </w:rPr>
            </w:pPr>
            <w:r>
              <w:rPr>
                <w:rStyle w:val="14"/>
                <w:rFonts w:hint="eastAsia" w:ascii="宋体" w:hAnsi="宋体"/>
                <w:b w:val="0"/>
                <w:color w:val="auto"/>
                <w:sz w:val="24"/>
                <w:highlight w:val="none"/>
                <w:lang w:val="en-US" w:eastAsia="zh-CN"/>
              </w:rPr>
              <w:t>1</w:t>
            </w:r>
          </w:p>
        </w:tc>
      </w:tr>
    </w:tbl>
    <w:p>
      <w:pPr>
        <w:pStyle w:val="6"/>
        <w:pageBreakBefore w:val="0"/>
        <w:kinsoku/>
        <w:wordWrap/>
        <w:overflowPunct/>
        <w:topLinePunct w:val="0"/>
        <w:bidi w:val="0"/>
        <w:adjustRightInd/>
        <w:snapToGrid/>
        <w:spacing w:before="67" w:line="288" w:lineRule="auto"/>
        <w:ind w:left="838"/>
        <w:textAlignment w:val="auto"/>
        <w:rPr>
          <w:color w:val="auto"/>
          <w:lang w:val="en-US"/>
        </w:rPr>
      </w:pPr>
      <w:r>
        <w:rPr>
          <w:rFonts w:hint="eastAsia"/>
          <w:color w:val="auto"/>
          <w:lang w:val="en-US"/>
        </w:rPr>
        <w:t>3.机动 4 周用于事假、考试、公益活动等。</w:t>
      </w:r>
    </w:p>
    <w:p>
      <w:pPr>
        <w:pStyle w:val="6"/>
        <w:pageBreakBefore w:val="0"/>
        <w:kinsoku/>
        <w:wordWrap/>
        <w:overflowPunct/>
        <w:topLinePunct w:val="0"/>
        <w:bidi w:val="0"/>
        <w:adjustRightInd/>
        <w:snapToGrid/>
        <w:spacing w:line="288" w:lineRule="auto"/>
        <w:textAlignment w:val="auto"/>
        <w:rPr>
          <w:color w:val="auto"/>
        </w:rPr>
      </w:pPr>
      <w:r>
        <w:rPr>
          <w:color w:val="auto"/>
        </w:rPr>
        <w:t>（五）社会实践</w:t>
      </w:r>
      <w:r>
        <w:rPr>
          <w:rFonts w:hint="eastAsia"/>
          <w:color w:val="auto"/>
          <w:lang w:eastAsia="zh-CN"/>
        </w:rPr>
        <w:t>：</w:t>
      </w:r>
      <w:r>
        <w:rPr>
          <w:color w:val="auto"/>
        </w:rPr>
        <w:t>2</w:t>
      </w:r>
      <w:r>
        <w:rPr>
          <w:rFonts w:hint="eastAsia"/>
          <w:color w:val="auto"/>
          <w:lang w:val="en-US"/>
        </w:rPr>
        <w:t xml:space="preserve"> </w:t>
      </w:r>
      <w:r>
        <w:rPr>
          <w:color w:val="auto"/>
        </w:rPr>
        <w:t>周，2</w:t>
      </w:r>
      <w:r>
        <w:rPr>
          <w:rFonts w:hint="eastAsia"/>
          <w:color w:val="auto"/>
          <w:lang w:val="en-US"/>
        </w:rPr>
        <w:t xml:space="preserve"> </w:t>
      </w:r>
      <w:r>
        <w:rPr>
          <w:color w:val="auto"/>
        </w:rPr>
        <w:t>学分。</w:t>
      </w:r>
    </w:p>
    <w:p>
      <w:pPr>
        <w:pStyle w:val="6"/>
        <w:pageBreakBefore w:val="0"/>
        <w:kinsoku/>
        <w:wordWrap/>
        <w:overflowPunct/>
        <w:topLinePunct w:val="0"/>
        <w:bidi w:val="0"/>
        <w:adjustRightInd/>
        <w:snapToGrid/>
        <w:spacing w:line="288" w:lineRule="auto"/>
        <w:textAlignment w:val="auto"/>
        <w:rPr>
          <w:color w:val="auto"/>
        </w:rPr>
      </w:pPr>
      <w:r>
        <w:rPr>
          <w:rFonts w:hint="eastAsia"/>
          <w:color w:val="auto"/>
        </w:rPr>
        <w:t>（</w:t>
      </w:r>
      <w:r>
        <w:rPr>
          <w:rFonts w:hint="eastAsia"/>
          <w:color w:val="auto"/>
          <w:lang w:val="en-US"/>
        </w:rPr>
        <w:t>1</w:t>
      </w:r>
      <w:r>
        <w:rPr>
          <w:rFonts w:hint="eastAsia"/>
          <w:color w:val="auto"/>
        </w:rPr>
        <w:t>）</w:t>
      </w:r>
      <w:r>
        <w:rPr>
          <w:color w:val="auto"/>
        </w:rPr>
        <w:t>假期社会实践：寒暑假社会实践，36 学时（1 周）计 1 学分。</w:t>
      </w:r>
    </w:p>
    <w:p>
      <w:pPr>
        <w:pStyle w:val="6"/>
        <w:pageBreakBefore w:val="0"/>
        <w:kinsoku/>
        <w:wordWrap/>
        <w:overflowPunct/>
        <w:topLinePunct w:val="0"/>
        <w:bidi w:val="0"/>
        <w:adjustRightInd/>
        <w:snapToGrid/>
        <w:spacing w:line="288" w:lineRule="auto"/>
        <w:textAlignment w:val="auto"/>
        <w:rPr>
          <w:color w:val="auto"/>
        </w:rPr>
      </w:pPr>
      <w:r>
        <w:rPr>
          <w:rFonts w:hint="eastAsia"/>
          <w:color w:val="auto"/>
        </w:rPr>
        <w:t>（</w:t>
      </w:r>
      <w:r>
        <w:rPr>
          <w:rFonts w:hint="eastAsia"/>
          <w:color w:val="auto"/>
          <w:lang w:val="en-US"/>
        </w:rPr>
        <w:t>2</w:t>
      </w:r>
      <w:r>
        <w:rPr>
          <w:rFonts w:hint="eastAsia"/>
          <w:color w:val="auto"/>
        </w:rPr>
        <w:t>）</w:t>
      </w:r>
      <w:r>
        <w:rPr>
          <w:color w:val="auto"/>
        </w:rPr>
        <w:t>志愿服务：校内外志愿服务活动，36 学时（1 周）计 1 学分。</w:t>
      </w:r>
    </w:p>
    <w:p>
      <w:pPr>
        <w:pStyle w:val="6"/>
        <w:pageBreakBefore w:val="0"/>
        <w:kinsoku/>
        <w:wordWrap/>
        <w:overflowPunct/>
        <w:topLinePunct w:val="0"/>
        <w:bidi w:val="0"/>
        <w:adjustRightInd/>
        <w:snapToGrid/>
        <w:spacing w:line="288" w:lineRule="auto"/>
        <w:textAlignment w:val="auto"/>
        <w:rPr>
          <w:color w:val="auto"/>
        </w:rPr>
      </w:pPr>
      <w:r>
        <w:rPr>
          <w:color w:val="auto"/>
        </w:rPr>
        <w:t>单项或者累计学分满 2 学分者，计 2 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六、学制及修业年限</w:t>
      </w:r>
    </w:p>
    <w:p>
      <w:pPr>
        <w:pStyle w:val="6"/>
        <w:pageBreakBefore w:val="0"/>
        <w:kinsoku/>
        <w:wordWrap/>
        <w:overflowPunct/>
        <w:topLinePunct w:val="0"/>
        <w:bidi w:val="0"/>
        <w:adjustRightInd/>
        <w:snapToGrid/>
        <w:spacing w:line="288" w:lineRule="auto"/>
        <w:ind w:left="358"/>
        <w:textAlignment w:val="auto"/>
        <w:rPr>
          <w:color w:val="auto"/>
        </w:rPr>
      </w:pPr>
      <w:r>
        <w:rPr>
          <w:color w:val="auto"/>
        </w:rPr>
        <w:t>（一）基本学制：本科 5 年、硕士 3 年。</w:t>
      </w:r>
    </w:p>
    <w:p>
      <w:pPr>
        <w:pStyle w:val="6"/>
        <w:pageBreakBefore w:val="0"/>
        <w:kinsoku/>
        <w:wordWrap/>
        <w:overflowPunct/>
        <w:topLinePunct w:val="0"/>
        <w:bidi w:val="0"/>
        <w:adjustRightInd/>
        <w:snapToGrid/>
        <w:spacing w:before="52" w:line="288" w:lineRule="auto"/>
        <w:ind w:left="358"/>
        <w:textAlignment w:val="auto"/>
        <w:rPr>
          <w:color w:val="auto"/>
        </w:rPr>
      </w:pPr>
      <w:r>
        <w:rPr>
          <w:color w:val="auto"/>
        </w:rPr>
        <w:t>（二）修业年限：本科 5～8 年、硕士 3～5 年。</w:t>
      </w:r>
    </w:p>
    <w:p>
      <w:pPr>
        <w:pStyle w:val="6"/>
        <w:pageBreakBefore w:val="0"/>
        <w:kinsoku/>
        <w:wordWrap/>
        <w:overflowPunct/>
        <w:topLinePunct w:val="0"/>
        <w:bidi w:val="0"/>
        <w:adjustRightInd/>
        <w:snapToGrid/>
        <w:spacing w:line="288" w:lineRule="auto"/>
        <w:ind w:left="358"/>
        <w:textAlignment w:val="auto"/>
        <w:rPr>
          <w:color w:val="auto"/>
        </w:rPr>
      </w:pPr>
      <w:r>
        <w:rPr>
          <w:color w:val="auto"/>
        </w:rPr>
        <w:t>（三）各学年时间安排：见表1。</w:t>
      </w:r>
    </w:p>
    <w:p>
      <w:pPr>
        <w:pStyle w:val="6"/>
        <w:pageBreakBefore w:val="0"/>
        <w:kinsoku/>
        <w:wordWrap/>
        <w:overflowPunct/>
        <w:topLinePunct w:val="0"/>
        <w:bidi w:val="0"/>
        <w:adjustRightInd/>
        <w:snapToGrid/>
        <w:spacing w:line="288" w:lineRule="auto"/>
        <w:ind w:left="358"/>
        <w:jc w:val="center"/>
        <w:textAlignment w:val="auto"/>
        <w:rPr>
          <w:color w:val="auto"/>
          <w:sz w:val="22"/>
          <w:szCs w:val="22"/>
        </w:rPr>
      </w:pPr>
      <w:r>
        <w:rPr>
          <w:rFonts w:hint="eastAsia"/>
          <w:color w:val="auto"/>
          <w:sz w:val="21"/>
          <w:szCs w:val="21"/>
        </w:rPr>
        <w:t>表</w:t>
      </w:r>
      <w:r>
        <w:rPr>
          <w:rFonts w:hint="eastAsia"/>
          <w:color w:val="auto"/>
          <w:sz w:val="21"/>
          <w:szCs w:val="21"/>
          <w:lang w:val="en-US" w:eastAsia="zh-CN"/>
        </w:rPr>
        <w:t xml:space="preserve">1 </w:t>
      </w:r>
      <w:r>
        <w:rPr>
          <w:rFonts w:hint="eastAsia"/>
          <w:color w:val="auto"/>
          <w:sz w:val="21"/>
          <w:szCs w:val="21"/>
        </w:rPr>
        <w:t>临床医学专业（“5+3”一体化）本科阶段各学年时间安排（单位：周）</w:t>
      </w:r>
    </w:p>
    <w:tbl>
      <w:tblPr>
        <w:tblStyle w:val="12"/>
        <w:tblW w:w="0" w:type="auto"/>
        <w:jc w:val="center"/>
        <w:tblLayout w:type="fixed"/>
        <w:tblCellMar>
          <w:top w:w="0" w:type="dxa"/>
          <w:left w:w="0" w:type="dxa"/>
          <w:bottom w:w="0" w:type="dxa"/>
          <w:right w:w="0" w:type="dxa"/>
        </w:tblCellMar>
      </w:tblPr>
      <w:tblGrid>
        <w:gridCol w:w="1070"/>
        <w:gridCol w:w="1099"/>
        <w:gridCol w:w="1001"/>
        <w:gridCol w:w="991"/>
        <w:gridCol w:w="992"/>
        <w:gridCol w:w="1099"/>
        <w:gridCol w:w="1133"/>
        <w:gridCol w:w="1242"/>
      </w:tblGrid>
      <w:tr>
        <w:tblPrEx>
          <w:tblCellMar>
            <w:top w:w="0" w:type="dxa"/>
            <w:left w:w="0" w:type="dxa"/>
            <w:bottom w:w="0" w:type="dxa"/>
            <w:right w:w="0" w:type="dxa"/>
          </w:tblCellMar>
        </w:tblPrEx>
        <w:trPr>
          <w:trHeight w:val="544" w:hRule="atLeast"/>
          <w:jc w:val="center"/>
        </w:trPr>
        <w:tc>
          <w:tcPr>
            <w:tcW w:w="1070"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学年</w:t>
            </w:r>
          </w:p>
        </w:tc>
        <w:tc>
          <w:tcPr>
            <w:tcW w:w="1099"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教学</w:t>
            </w:r>
          </w:p>
        </w:tc>
        <w:tc>
          <w:tcPr>
            <w:tcW w:w="1001"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考试</w:t>
            </w:r>
          </w:p>
        </w:tc>
        <w:tc>
          <w:tcPr>
            <w:tcW w:w="991"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通科</w:t>
            </w:r>
          </w:p>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实习</w:t>
            </w:r>
          </w:p>
        </w:tc>
        <w:tc>
          <w:tcPr>
            <w:tcW w:w="992"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硕士</w:t>
            </w:r>
          </w:p>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阶段</w:t>
            </w:r>
          </w:p>
        </w:tc>
        <w:tc>
          <w:tcPr>
            <w:tcW w:w="1099"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机动</w:t>
            </w:r>
          </w:p>
        </w:tc>
        <w:tc>
          <w:tcPr>
            <w:tcW w:w="1133"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假期</w:t>
            </w:r>
          </w:p>
        </w:tc>
        <w:tc>
          <w:tcPr>
            <w:tcW w:w="1242" w:type="dxa"/>
            <w:tcBorders>
              <w:top w:val="single" w:color="000000" w:sz="4" w:space="0"/>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合计</w:t>
            </w:r>
          </w:p>
        </w:tc>
      </w:tr>
      <w:tr>
        <w:tblPrEx>
          <w:tblCellMar>
            <w:top w:w="0" w:type="dxa"/>
            <w:left w:w="0" w:type="dxa"/>
            <w:bottom w:w="0" w:type="dxa"/>
            <w:right w:w="0" w:type="dxa"/>
          </w:tblCellMar>
        </w:tblPrEx>
        <w:trPr>
          <w:trHeight w:val="311" w:hRule="atLeast"/>
          <w:jc w:val="center"/>
        </w:trPr>
        <w:tc>
          <w:tcPr>
            <w:tcW w:w="1070"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一</w:t>
            </w:r>
          </w:p>
        </w:tc>
        <w:tc>
          <w:tcPr>
            <w:tcW w:w="1099"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31</w:t>
            </w:r>
          </w:p>
        </w:tc>
        <w:tc>
          <w:tcPr>
            <w:tcW w:w="1001"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4</w:t>
            </w:r>
          </w:p>
        </w:tc>
        <w:tc>
          <w:tcPr>
            <w:tcW w:w="991"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992"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099"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3</w:t>
            </w:r>
          </w:p>
        </w:tc>
        <w:tc>
          <w:tcPr>
            <w:tcW w:w="1133"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14</w:t>
            </w:r>
          </w:p>
        </w:tc>
        <w:tc>
          <w:tcPr>
            <w:tcW w:w="1242" w:type="dxa"/>
            <w:tcBorders>
              <w:top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r>
      <w:tr>
        <w:tblPrEx>
          <w:tblCellMar>
            <w:top w:w="0" w:type="dxa"/>
            <w:left w:w="0" w:type="dxa"/>
            <w:bottom w:w="0" w:type="dxa"/>
            <w:right w:w="0" w:type="dxa"/>
          </w:tblCellMar>
        </w:tblPrEx>
        <w:trPr>
          <w:trHeight w:val="300" w:hRule="atLeast"/>
          <w:jc w:val="center"/>
        </w:trPr>
        <w:tc>
          <w:tcPr>
            <w:tcW w:w="1070"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二</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32</w:t>
            </w:r>
          </w:p>
        </w:tc>
        <w:tc>
          <w:tcPr>
            <w:tcW w:w="100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4</w:t>
            </w:r>
          </w:p>
        </w:tc>
        <w:tc>
          <w:tcPr>
            <w:tcW w:w="99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99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w:t>
            </w:r>
          </w:p>
        </w:tc>
        <w:tc>
          <w:tcPr>
            <w:tcW w:w="1133"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14</w:t>
            </w:r>
          </w:p>
        </w:tc>
        <w:tc>
          <w:tcPr>
            <w:tcW w:w="124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r>
      <w:tr>
        <w:tblPrEx>
          <w:tblCellMar>
            <w:top w:w="0" w:type="dxa"/>
            <w:left w:w="0" w:type="dxa"/>
            <w:bottom w:w="0" w:type="dxa"/>
            <w:right w:w="0" w:type="dxa"/>
          </w:tblCellMar>
        </w:tblPrEx>
        <w:trPr>
          <w:trHeight w:val="300" w:hRule="atLeast"/>
          <w:jc w:val="center"/>
        </w:trPr>
        <w:tc>
          <w:tcPr>
            <w:tcW w:w="1070"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三</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32</w:t>
            </w:r>
          </w:p>
        </w:tc>
        <w:tc>
          <w:tcPr>
            <w:tcW w:w="100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4</w:t>
            </w:r>
          </w:p>
        </w:tc>
        <w:tc>
          <w:tcPr>
            <w:tcW w:w="99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99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w:t>
            </w:r>
          </w:p>
        </w:tc>
        <w:tc>
          <w:tcPr>
            <w:tcW w:w="1133"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14</w:t>
            </w:r>
          </w:p>
        </w:tc>
        <w:tc>
          <w:tcPr>
            <w:tcW w:w="124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r>
      <w:tr>
        <w:tblPrEx>
          <w:tblCellMar>
            <w:top w:w="0" w:type="dxa"/>
            <w:left w:w="0" w:type="dxa"/>
            <w:bottom w:w="0" w:type="dxa"/>
            <w:right w:w="0" w:type="dxa"/>
          </w:tblCellMar>
        </w:tblPrEx>
        <w:trPr>
          <w:trHeight w:val="300" w:hRule="atLeast"/>
          <w:jc w:val="center"/>
        </w:trPr>
        <w:tc>
          <w:tcPr>
            <w:tcW w:w="1070"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四</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28</w:t>
            </w:r>
          </w:p>
        </w:tc>
        <w:tc>
          <w:tcPr>
            <w:tcW w:w="100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w:t>
            </w:r>
          </w:p>
        </w:tc>
        <w:tc>
          <w:tcPr>
            <w:tcW w:w="99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15</w:t>
            </w:r>
          </w:p>
        </w:tc>
        <w:tc>
          <w:tcPr>
            <w:tcW w:w="99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w:t>
            </w:r>
          </w:p>
        </w:tc>
        <w:tc>
          <w:tcPr>
            <w:tcW w:w="1133"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w:t>
            </w:r>
          </w:p>
        </w:tc>
        <w:tc>
          <w:tcPr>
            <w:tcW w:w="124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r>
      <w:tr>
        <w:tblPrEx>
          <w:tblCellMar>
            <w:top w:w="0" w:type="dxa"/>
            <w:left w:w="0" w:type="dxa"/>
            <w:bottom w:w="0" w:type="dxa"/>
            <w:right w:w="0" w:type="dxa"/>
          </w:tblCellMar>
        </w:tblPrEx>
        <w:trPr>
          <w:trHeight w:val="295" w:hRule="atLeast"/>
          <w:jc w:val="center"/>
        </w:trPr>
        <w:tc>
          <w:tcPr>
            <w:tcW w:w="1070"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五</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00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991"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37</w:t>
            </w:r>
          </w:p>
        </w:tc>
        <w:tc>
          <w:tcPr>
            <w:tcW w:w="99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10</w:t>
            </w:r>
          </w:p>
        </w:tc>
        <w:tc>
          <w:tcPr>
            <w:tcW w:w="1099"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w:t>
            </w:r>
          </w:p>
        </w:tc>
        <w:tc>
          <w:tcPr>
            <w:tcW w:w="1133"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eastAsia="zh-CN" w:bidi="ar-SA"/>
              </w:rPr>
            </w:pPr>
            <w:r>
              <w:rPr>
                <w:rStyle w:val="14"/>
                <w:rFonts w:hint="eastAsia" w:ascii="宋体" w:hAnsi="宋体" w:eastAsia="宋体" w:cs="宋体"/>
                <w:b w:val="0"/>
                <w:color w:val="auto"/>
                <w:kern w:val="2"/>
                <w:sz w:val="21"/>
                <w:szCs w:val="21"/>
                <w:lang w:val="en-US" w:eastAsia="zh-CN" w:bidi="ar-SA"/>
              </w:rPr>
              <w:t>-</w:t>
            </w:r>
          </w:p>
        </w:tc>
        <w:tc>
          <w:tcPr>
            <w:tcW w:w="124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r>
      <w:tr>
        <w:tblPrEx>
          <w:tblCellMar>
            <w:top w:w="0" w:type="dxa"/>
            <w:left w:w="0" w:type="dxa"/>
            <w:bottom w:w="0" w:type="dxa"/>
            <w:right w:w="0" w:type="dxa"/>
          </w:tblCellMar>
        </w:tblPrEx>
        <w:trPr>
          <w:trHeight w:val="283" w:hRule="atLeast"/>
          <w:jc w:val="center"/>
        </w:trPr>
        <w:tc>
          <w:tcPr>
            <w:tcW w:w="1070"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合计</w:t>
            </w:r>
          </w:p>
        </w:tc>
        <w:tc>
          <w:tcPr>
            <w:tcW w:w="1099"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123</w:t>
            </w:r>
          </w:p>
        </w:tc>
        <w:tc>
          <w:tcPr>
            <w:tcW w:w="1001"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14</w:t>
            </w:r>
          </w:p>
        </w:tc>
        <w:tc>
          <w:tcPr>
            <w:tcW w:w="991"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52</w:t>
            </w:r>
          </w:p>
        </w:tc>
        <w:tc>
          <w:tcPr>
            <w:tcW w:w="992"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10</w:t>
            </w:r>
          </w:p>
        </w:tc>
        <w:tc>
          <w:tcPr>
            <w:tcW w:w="1099"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14</w:t>
            </w:r>
          </w:p>
        </w:tc>
        <w:tc>
          <w:tcPr>
            <w:tcW w:w="1133"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47</w:t>
            </w:r>
          </w:p>
        </w:tc>
        <w:tc>
          <w:tcPr>
            <w:tcW w:w="1242" w:type="dxa"/>
            <w:tcBorders>
              <w:bottom w:val="single" w:color="000000"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cs="宋体"/>
                <w:b w:val="0"/>
                <w:color w:val="auto"/>
                <w:kern w:val="2"/>
                <w:sz w:val="21"/>
                <w:szCs w:val="21"/>
                <w:lang w:val="en-US" w:bidi="ar-SA"/>
              </w:rPr>
            </w:pPr>
            <w:r>
              <w:rPr>
                <w:rStyle w:val="14"/>
                <w:rFonts w:hint="eastAsia" w:ascii="宋体" w:hAnsi="宋体" w:eastAsia="宋体" w:cs="宋体"/>
                <w:b w:val="0"/>
                <w:color w:val="auto"/>
                <w:kern w:val="2"/>
                <w:sz w:val="21"/>
                <w:szCs w:val="21"/>
                <w:lang w:val="en-US" w:bidi="ar-SA"/>
              </w:rPr>
              <w:t>260</w:t>
            </w:r>
          </w:p>
        </w:tc>
      </w:tr>
    </w:tbl>
    <w:p>
      <w:pPr>
        <w:pStyle w:val="6"/>
        <w:pageBreakBefore w:val="0"/>
        <w:kinsoku/>
        <w:wordWrap/>
        <w:overflowPunct/>
        <w:topLinePunct w:val="0"/>
        <w:bidi w:val="0"/>
        <w:adjustRightInd/>
        <w:snapToGrid/>
        <w:spacing w:before="52" w:line="288" w:lineRule="auto"/>
        <w:textAlignment w:val="auto"/>
        <w:rPr>
          <w:b/>
          <w:bCs/>
          <w:color w:val="auto"/>
        </w:rPr>
      </w:pPr>
      <w:r>
        <w:rPr>
          <w:color w:val="auto"/>
          <w:sz w:val="21"/>
        </w:rPr>
        <w:t>注：技能培训安排在 1-8 学期进行；社会实践 2 周，由校团委作统一部署，机动含军训、社</w:t>
      </w:r>
      <w:r>
        <w:rPr>
          <w:rFonts w:hint="eastAsia"/>
          <w:color w:val="auto"/>
          <w:sz w:val="21"/>
        </w:rPr>
        <w:t>会实践、毕业考试等其他环节。</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七、毕业与学位</w:t>
      </w:r>
    </w:p>
    <w:p>
      <w:pPr>
        <w:pStyle w:val="6"/>
        <w:pageBreakBefore w:val="0"/>
        <w:kinsoku/>
        <w:wordWrap/>
        <w:overflowPunct/>
        <w:topLinePunct w:val="0"/>
        <w:bidi w:val="0"/>
        <w:adjustRightInd/>
        <w:snapToGrid/>
        <w:spacing w:before="0" w:line="288" w:lineRule="auto"/>
        <w:ind w:left="0" w:firstLine="480" w:firstLineChars="200"/>
        <w:textAlignment w:val="auto"/>
        <w:rPr>
          <w:color w:val="auto"/>
        </w:rPr>
      </w:pPr>
      <w:r>
        <w:rPr>
          <w:color w:val="auto"/>
        </w:rPr>
        <w:t>在学校规定修业年限内，修完全部必修课程并成绩合格，限选课程修满</w:t>
      </w:r>
      <w:r>
        <w:rPr>
          <w:rFonts w:hint="eastAsia"/>
          <w:color w:val="auto"/>
          <w:lang w:val="en-US" w:eastAsia="zh-CN"/>
        </w:rPr>
        <w:t xml:space="preserve"> 13</w:t>
      </w:r>
      <w:r>
        <w:rPr>
          <w:color w:val="auto"/>
        </w:rPr>
        <w:t xml:space="preserve"> 学分，任选课修满 20 学分，通过毕业实习、社会实践、创新创业素质拓展等实践教学环节，总学分达</w:t>
      </w:r>
      <w:r>
        <w:rPr>
          <w:rFonts w:hint="eastAsia"/>
          <w:color w:val="auto"/>
          <w:lang w:val="en-US" w:eastAsia="zh-CN"/>
        </w:rPr>
        <w:t xml:space="preserve"> 262</w:t>
      </w:r>
      <w:r>
        <w:rPr>
          <w:color w:val="auto"/>
        </w:rPr>
        <w:t xml:space="preserve"> 学分以上；通过综合考试（包括基础课综合考试、专业课综合考试和毕业综合考试）。符合《广西医科大学学生学籍管理规定》中的毕业条件的准予毕业，发给本科毕业证书，符合《广西医科大学授予学士学位工作细则》学士学位条件的授予医学学士学位。</w:t>
      </w:r>
    </w:p>
    <w:p>
      <w:pPr>
        <w:pStyle w:val="6"/>
        <w:pageBreakBefore w:val="0"/>
        <w:kinsoku/>
        <w:wordWrap/>
        <w:overflowPunct/>
        <w:topLinePunct w:val="0"/>
        <w:bidi w:val="0"/>
        <w:adjustRightInd/>
        <w:snapToGrid/>
        <w:spacing w:before="0" w:line="288" w:lineRule="auto"/>
        <w:ind w:left="0" w:firstLine="480" w:firstLineChars="200"/>
        <w:textAlignment w:val="auto"/>
        <w:rPr>
          <w:color w:val="auto"/>
        </w:rPr>
      </w:pPr>
      <w:r>
        <w:rPr>
          <w:color w:val="auto"/>
        </w:rPr>
        <w:t>在规定的修业年限内，通过国家临床执业医师资格考试，完成和达到国家卫计委有关住院医师规范化培训内容及要求和临床医学硕士专业学位授予的相关要求，通过学位论文答辩，可获得执业医师资格证、住院医师规范化培训合格证书，授予硕士研究生毕业证书和医学硕士学位。原则上，毕业证书和学位证书于毕业前统一发放。</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八、毕业去向</w:t>
      </w:r>
    </w:p>
    <w:p>
      <w:pPr>
        <w:pStyle w:val="6"/>
        <w:pageBreakBefore w:val="0"/>
        <w:kinsoku/>
        <w:wordWrap/>
        <w:overflowPunct/>
        <w:topLinePunct w:val="0"/>
        <w:bidi w:val="0"/>
        <w:adjustRightInd/>
        <w:snapToGrid/>
        <w:spacing w:before="0" w:line="288" w:lineRule="auto"/>
        <w:ind w:left="0" w:firstLine="480" w:firstLineChars="200"/>
        <w:textAlignment w:val="auto"/>
        <w:rPr>
          <w:color w:val="auto"/>
        </w:rPr>
      </w:pPr>
      <w:r>
        <w:rPr>
          <w:color w:val="auto"/>
        </w:rPr>
        <w:t>临床医学专业（“5+3”一体化）毕业生具有系统的医学专业基础理论和熟练的专业技能，可到医疗卫生、教育及医学研究等相关领域从事医疗、教学及科研工作，可通过参加全国博士研究生考试继续攻读博士研究生。</w:t>
      </w:r>
    </w:p>
    <w:p>
      <w:pPr>
        <w:pStyle w:val="10"/>
        <w:pageBreakBefore w:val="0"/>
        <w:numPr>
          <w:ilvl w:val="0"/>
          <w:numId w:val="6"/>
        </w:numPr>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hint="eastAsia"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教学进程</w:t>
      </w:r>
    </w:p>
    <w:p>
      <w:pPr>
        <w:pStyle w:val="1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rPr>
          <w:rStyle w:val="14"/>
          <w:rFonts w:hint="eastAsia" w:ascii="Times New Roman" w:hAnsi="Times New Roman" w:eastAsiaTheme="minorHAnsi"/>
          <w:color w:val="auto"/>
          <w:szCs w:val="24"/>
          <w:lang w:val="en-US" w:bidi="ar-SA"/>
        </w:rPr>
      </w:pPr>
    </w:p>
    <w:p>
      <w:pPr>
        <w:pStyle w:val="10"/>
        <w:pageBreakBefore w:val="0"/>
        <w:numPr>
          <w:ilvl w:val="0"/>
          <w:numId w:val="6"/>
        </w:numPr>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hint="eastAsia" w:ascii="Times New Roman" w:hAnsi="Times New Roman" w:eastAsiaTheme="minorHAnsi"/>
          <w:color w:val="auto"/>
          <w:szCs w:val="24"/>
          <w:lang w:val="en-US" w:bidi="ar-SA"/>
        </w:rPr>
      </w:pPr>
      <w:r>
        <w:rPr>
          <w:rStyle w:val="14"/>
          <w:rFonts w:hint="eastAsia" w:ascii="Times New Roman" w:hAnsi="Times New Roman" w:eastAsiaTheme="minorHAnsi"/>
          <w:color w:val="auto"/>
          <w:szCs w:val="24"/>
          <w:lang w:val="en-US" w:bidi="ar-SA"/>
        </w:rPr>
        <w:t>“5+3”一体化临床医学专业课程体系对培养要求指标点支撑矩阵图</w:t>
      </w:r>
    </w:p>
    <w:p>
      <w:pPr>
        <w:pStyle w:val="6"/>
        <w:pageBreakBefore w:val="0"/>
        <w:kinsoku/>
        <w:wordWrap/>
        <w:overflowPunct/>
        <w:topLinePunct w:val="0"/>
        <w:bidi w:val="0"/>
        <w:adjustRightInd/>
        <w:snapToGrid/>
        <w:spacing w:before="0" w:line="288" w:lineRule="auto"/>
        <w:ind w:left="0"/>
        <w:textAlignment w:val="auto"/>
        <w:rPr>
          <w:rFonts w:ascii="黑体" w:eastAsia="黑体"/>
          <w:color w:val="auto"/>
        </w:rPr>
        <w:sectPr>
          <w:footerReference r:id="rId3" w:type="default"/>
          <w:footerReference r:id="rId4" w:type="even"/>
          <w:pgSz w:w="11900" w:h="16840"/>
          <w:pgMar w:top="1440" w:right="567" w:bottom="1440" w:left="1440" w:header="0" w:footer="499" w:gutter="0"/>
          <w:cols w:space="720" w:num="1"/>
        </w:sectPr>
      </w:pPr>
    </w:p>
    <w:tbl>
      <w:tblPr>
        <w:tblStyle w:val="12"/>
        <w:tblW w:w="1591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3"/>
        <w:gridCol w:w="360"/>
        <w:gridCol w:w="450"/>
        <w:gridCol w:w="2271"/>
        <w:gridCol w:w="329"/>
        <w:gridCol w:w="329"/>
        <w:gridCol w:w="329"/>
        <w:gridCol w:w="329"/>
        <w:gridCol w:w="329"/>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5919" w:type="dxa"/>
            <w:gridSpan w:val="42"/>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“5+3”一体化临床医学专业课程体系对培养要求指标点支撑矩阵图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课程模块</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2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2635" w:type="dxa"/>
            <w:gridSpan w:val="8"/>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科学和学术领域</w:t>
            </w:r>
          </w:p>
        </w:tc>
        <w:tc>
          <w:tcPr>
            <w:tcW w:w="4950" w:type="dxa"/>
            <w:gridSpan w:val="1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临床能力领域</w:t>
            </w:r>
          </w:p>
        </w:tc>
        <w:tc>
          <w:tcPr>
            <w:tcW w:w="23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健康与社会领域</w:t>
            </w:r>
          </w:p>
        </w:tc>
        <w:tc>
          <w:tcPr>
            <w:tcW w:w="2640"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职业素养领域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1.5</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2.3</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2.5</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2.6</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2.11</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2.12</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2.14</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2.15</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3.3</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4.3</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4.4</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4.6</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基础阶段必修课程</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思想修养 ． 人文素质 ．  行为科学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军事理论</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大学生安全教育</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创业基础</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大学生职业发展与就业指导</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中国近现代史纲要</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马克思主义基本原理</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医学伦理学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卫生法学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自然辩证法</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医学心理学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医患沟通学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人文社会科学、素质教育通识课程</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细胞生物学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组织学与胚胎学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系统解剖学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生物化学与分子生物学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医学免疫学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医学微生物学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医学遗传学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机能实验学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病理生理学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人体寄生虫学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局部解剖学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自然科学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医用物理学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基础化学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高等数学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公共卫生与 科研方法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医学统计学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流行病学与循证医学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医学信息检索与利用</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转化医学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精准医学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科学研究入门</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临床阶段必修课程</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 床  医 学 课 程</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全科医学概论</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诊断学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外科学总论</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麻醉学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精神病学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耳鼻咽喉科学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神经病学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皮肤性病学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妇产科学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传染病学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眼科学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临床技能学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超声诊断学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急诊医学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核医学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任选课</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医学史</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医学社会学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神经生物学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生物物理学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生物信息学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智慧医疗</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卫生事业管理学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老龄化与全球健康</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健康教育与健康促进</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妇幼与儿少卫生学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食物营养与食品安全</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劳动环境与健康</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临床肿瘤学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物理治疗学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放射治疗学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临床药学</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临床思维培养与实践指导</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外科学黑科技</w:t>
            </w: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6"/>
        <w:pageBreakBefore w:val="0"/>
        <w:kinsoku/>
        <w:wordWrap/>
        <w:overflowPunct/>
        <w:topLinePunct w:val="0"/>
        <w:bidi w:val="0"/>
        <w:adjustRightInd/>
        <w:snapToGrid/>
        <w:spacing w:before="0" w:line="288" w:lineRule="auto"/>
        <w:ind w:left="0"/>
        <w:textAlignment w:val="auto"/>
        <w:rPr>
          <w:rFonts w:ascii="黑体" w:eastAsia="黑体"/>
          <w:color w:val="auto"/>
        </w:rPr>
      </w:pPr>
    </w:p>
    <w:p>
      <w:pPr>
        <w:pStyle w:val="6"/>
        <w:pageBreakBefore w:val="0"/>
        <w:kinsoku/>
        <w:wordWrap/>
        <w:overflowPunct/>
        <w:topLinePunct w:val="0"/>
        <w:bidi w:val="0"/>
        <w:adjustRightInd/>
        <w:snapToGrid/>
        <w:spacing w:before="0" w:line="288" w:lineRule="auto"/>
        <w:ind w:left="0"/>
        <w:textAlignment w:val="auto"/>
        <w:rPr>
          <w:rFonts w:ascii="黑体" w:eastAsia="黑体"/>
          <w:color w:val="auto"/>
        </w:rPr>
      </w:pPr>
    </w:p>
    <w:p>
      <w:pPr>
        <w:pStyle w:val="6"/>
        <w:pageBreakBefore w:val="0"/>
        <w:kinsoku/>
        <w:wordWrap/>
        <w:overflowPunct/>
        <w:topLinePunct w:val="0"/>
        <w:bidi w:val="0"/>
        <w:adjustRightInd/>
        <w:snapToGrid/>
        <w:spacing w:before="1" w:line="288" w:lineRule="auto"/>
        <w:ind w:left="0"/>
        <w:textAlignment w:val="auto"/>
        <w:rPr>
          <w:rFonts w:eastAsia="黑体"/>
          <w:color w:val="auto"/>
          <w:sz w:val="16"/>
          <w:lang w:val="en-US"/>
        </w:rPr>
      </w:pPr>
      <w:bookmarkStart w:id="2" w:name="_bookmark2"/>
      <w:bookmarkEnd w:id="2"/>
    </w:p>
    <w:sectPr>
      <w:pgSz w:w="16840" w:h="11900" w:orient="landscape"/>
      <w:pgMar w:top="567" w:right="567" w:bottom="567" w:left="567" w:header="0" w:footer="4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4A255"/>
    <w:multiLevelType w:val="multilevel"/>
    <w:tmpl w:val="0604A25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EAC6C3A"/>
    <w:multiLevelType w:val="singleLevel"/>
    <w:tmpl w:val="1EAC6C3A"/>
    <w:lvl w:ilvl="0" w:tentative="0">
      <w:start w:val="9"/>
      <w:numFmt w:val="chineseCounting"/>
      <w:suff w:val="nothing"/>
      <w:lvlText w:val="%1、"/>
      <w:lvlJc w:val="left"/>
      <w:rPr>
        <w:rFonts w:hint="eastAsia"/>
      </w:rPr>
    </w:lvl>
  </w:abstractNum>
  <w:abstractNum w:abstractNumId="3">
    <w:nsid w:val="5A241D34"/>
    <w:multiLevelType w:val="multilevel"/>
    <w:tmpl w:val="5A241D34"/>
    <w:lvl w:ilvl="0" w:tentative="0">
      <w:start w:val="1"/>
      <w:numFmt w:val="decimal"/>
      <w:lvlText w:val="%1."/>
      <w:lvlJc w:val="left"/>
      <w:pPr>
        <w:ind w:left="118" w:hanging="24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038" w:hanging="241"/>
      </w:pPr>
      <w:rPr>
        <w:rFonts w:hint="default"/>
        <w:lang w:val="zh-CN" w:eastAsia="zh-CN" w:bidi="zh-CN"/>
      </w:rPr>
    </w:lvl>
    <w:lvl w:ilvl="2" w:tentative="0">
      <w:start w:val="0"/>
      <w:numFmt w:val="bullet"/>
      <w:lvlText w:val="•"/>
      <w:lvlJc w:val="left"/>
      <w:pPr>
        <w:ind w:left="1957" w:hanging="241"/>
      </w:pPr>
      <w:rPr>
        <w:rFonts w:hint="default"/>
        <w:lang w:val="zh-CN" w:eastAsia="zh-CN" w:bidi="zh-CN"/>
      </w:rPr>
    </w:lvl>
    <w:lvl w:ilvl="3" w:tentative="0">
      <w:start w:val="0"/>
      <w:numFmt w:val="bullet"/>
      <w:lvlText w:val="•"/>
      <w:lvlJc w:val="left"/>
      <w:pPr>
        <w:ind w:left="2875" w:hanging="241"/>
      </w:pPr>
      <w:rPr>
        <w:rFonts w:hint="default"/>
        <w:lang w:val="zh-CN" w:eastAsia="zh-CN" w:bidi="zh-CN"/>
      </w:rPr>
    </w:lvl>
    <w:lvl w:ilvl="4" w:tentative="0">
      <w:start w:val="0"/>
      <w:numFmt w:val="bullet"/>
      <w:lvlText w:val="•"/>
      <w:lvlJc w:val="left"/>
      <w:pPr>
        <w:ind w:left="3794" w:hanging="241"/>
      </w:pPr>
      <w:rPr>
        <w:rFonts w:hint="default"/>
        <w:lang w:val="zh-CN" w:eastAsia="zh-CN" w:bidi="zh-CN"/>
      </w:rPr>
    </w:lvl>
    <w:lvl w:ilvl="5" w:tentative="0">
      <w:start w:val="0"/>
      <w:numFmt w:val="bullet"/>
      <w:lvlText w:val="•"/>
      <w:lvlJc w:val="left"/>
      <w:pPr>
        <w:ind w:left="4713" w:hanging="241"/>
      </w:pPr>
      <w:rPr>
        <w:rFonts w:hint="default"/>
        <w:lang w:val="zh-CN" w:eastAsia="zh-CN" w:bidi="zh-CN"/>
      </w:rPr>
    </w:lvl>
    <w:lvl w:ilvl="6" w:tentative="0">
      <w:start w:val="0"/>
      <w:numFmt w:val="bullet"/>
      <w:lvlText w:val="•"/>
      <w:lvlJc w:val="left"/>
      <w:pPr>
        <w:ind w:left="5631" w:hanging="241"/>
      </w:pPr>
      <w:rPr>
        <w:rFonts w:hint="default"/>
        <w:lang w:val="zh-CN" w:eastAsia="zh-CN" w:bidi="zh-CN"/>
      </w:rPr>
    </w:lvl>
    <w:lvl w:ilvl="7" w:tentative="0">
      <w:start w:val="0"/>
      <w:numFmt w:val="bullet"/>
      <w:lvlText w:val="•"/>
      <w:lvlJc w:val="left"/>
      <w:pPr>
        <w:ind w:left="6550" w:hanging="241"/>
      </w:pPr>
      <w:rPr>
        <w:rFonts w:hint="default"/>
        <w:lang w:val="zh-CN" w:eastAsia="zh-CN" w:bidi="zh-CN"/>
      </w:rPr>
    </w:lvl>
    <w:lvl w:ilvl="8" w:tentative="0">
      <w:start w:val="0"/>
      <w:numFmt w:val="bullet"/>
      <w:lvlText w:val="•"/>
      <w:lvlJc w:val="left"/>
      <w:pPr>
        <w:ind w:left="7469" w:hanging="241"/>
      </w:pPr>
      <w:rPr>
        <w:rFonts w:hint="default"/>
        <w:lang w:val="zh-CN" w:eastAsia="zh-CN" w:bidi="zh-CN"/>
      </w:rPr>
    </w:lvl>
  </w:abstractNum>
  <w:abstractNum w:abstractNumId="4">
    <w:nsid w:val="62A3A2BC"/>
    <w:multiLevelType w:val="multilevel"/>
    <w:tmpl w:val="62A3A2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TdiNzE0ZDQwNDUyMmVjZDBmYWJmOTZiMGIzNThkZDEifQ=="/>
  </w:docVars>
  <w:rsids>
    <w:rsidRoot w:val="00E7507A"/>
    <w:rsid w:val="00882F31"/>
    <w:rsid w:val="008F1425"/>
    <w:rsid w:val="00E550F9"/>
    <w:rsid w:val="00E7507A"/>
    <w:rsid w:val="011D098D"/>
    <w:rsid w:val="01D34B7C"/>
    <w:rsid w:val="023B1F24"/>
    <w:rsid w:val="02614383"/>
    <w:rsid w:val="03BA222B"/>
    <w:rsid w:val="03D66BA6"/>
    <w:rsid w:val="04BA0928"/>
    <w:rsid w:val="07D975E2"/>
    <w:rsid w:val="08C35715"/>
    <w:rsid w:val="097875EB"/>
    <w:rsid w:val="09CA649C"/>
    <w:rsid w:val="0C243FA4"/>
    <w:rsid w:val="0D610F9A"/>
    <w:rsid w:val="0D6517A4"/>
    <w:rsid w:val="0DC77FAD"/>
    <w:rsid w:val="0DFE5AA4"/>
    <w:rsid w:val="0E1C78AB"/>
    <w:rsid w:val="0F4B0D2E"/>
    <w:rsid w:val="0F9F7BE4"/>
    <w:rsid w:val="0FF37527"/>
    <w:rsid w:val="13257202"/>
    <w:rsid w:val="14092680"/>
    <w:rsid w:val="14EA3B4D"/>
    <w:rsid w:val="16711489"/>
    <w:rsid w:val="16FB6BF7"/>
    <w:rsid w:val="186A063A"/>
    <w:rsid w:val="18B632B5"/>
    <w:rsid w:val="18F67835"/>
    <w:rsid w:val="195F21A3"/>
    <w:rsid w:val="197A4F5B"/>
    <w:rsid w:val="19CF2345"/>
    <w:rsid w:val="1A0C56B1"/>
    <w:rsid w:val="1ADC0AEE"/>
    <w:rsid w:val="1B1458EC"/>
    <w:rsid w:val="1C136941"/>
    <w:rsid w:val="1DEE7888"/>
    <w:rsid w:val="209D7BF7"/>
    <w:rsid w:val="214B3C9D"/>
    <w:rsid w:val="21A95247"/>
    <w:rsid w:val="22060098"/>
    <w:rsid w:val="221F0F05"/>
    <w:rsid w:val="263664E8"/>
    <w:rsid w:val="27266F46"/>
    <w:rsid w:val="276F34E1"/>
    <w:rsid w:val="28306EB4"/>
    <w:rsid w:val="28E62B38"/>
    <w:rsid w:val="2B2C2C6F"/>
    <w:rsid w:val="2D4D7B07"/>
    <w:rsid w:val="2D783A19"/>
    <w:rsid w:val="2E19750B"/>
    <w:rsid w:val="2E61247E"/>
    <w:rsid w:val="2EA9566F"/>
    <w:rsid w:val="2F897B3C"/>
    <w:rsid w:val="2FDC11D5"/>
    <w:rsid w:val="323E037D"/>
    <w:rsid w:val="34713950"/>
    <w:rsid w:val="35EB410D"/>
    <w:rsid w:val="37172072"/>
    <w:rsid w:val="376767F0"/>
    <w:rsid w:val="380D4C6E"/>
    <w:rsid w:val="38455A8B"/>
    <w:rsid w:val="38701C5D"/>
    <w:rsid w:val="3A077D5A"/>
    <w:rsid w:val="3ACA09EC"/>
    <w:rsid w:val="3ACB1C3A"/>
    <w:rsid w:val="3C4C461E"/>
    <w:rsid w:val="3C993255"/>
    <w:rsid w:val="3CB1490E"/>
    <w:rsid w:val="3E0F1B0A"/>
    <w:rsid w:val="3EA92035"/>
    <w:rsid w:val="3FE62F46"/>
    <w:rsid w:val="406D5BC1"/>
    <w:rsid w:val="422A7B4D"/>
    <w:rsid w:val="42A44664"/>
    <w:rsid w:val="42B134B8"/>
    <w:rsid w:val="440917CE"/>
    <w:rsid w:val="44650546"/>
    <w:rsid w:val="45C2075D"/>
    <w:rsid w:val="476C1A90"/>
    <w:rsid w:val="47A142E9"/>
    <w:rsid w:val="496B10C3"/>
    <w:rsid w:val="4A653F3F"/>
    <w:rsid w:val="4BC06ED0"/>
    <w:rsid w:val="4D662315"/>
    <w:rsid w:val="4DC22D80"/>
    <w:rsid w:val="4E730317"/>
    <w:rsid w:val="52371035"/>
    <w:rsid w:val="53242E06"/>
    <w:rsid w:val="535B00C2"/>
    <w:rsid w:val="538735E0"/>
    <w:rsid w:val="58AE0602"/>
    <w:rsid w:val="592D3118"/>
    <w:rsid w:val="59D12179"/>
    <w:rsid w:val="5C4F21C6"/>
    <w:rsid w:val="5CF07506"/>
    <w:rsid w:val="5E856373"/>
    <w:rsid w:val="5EB6652F"/>
    <w:rsid w:val="608F71CD"/>
    <w:rsid w:val="617422C7"/>
    <w:rsid w:val="633B5253"/>
    <w:rsid w:val="63D3417B"/>
    <w:rsid w:val="650C3015"/>
    <w:rsid w:val="651B2838"/>
    <w:rsid w:val="652E68CB"/>
    <w:rsid w:val="65B703E7"/>
    <w:rsid w:val="67D67CC1"/>
    <w:rsid w:val="68B87173"/>
    <w:rsid w:val="6C984D1C"/>
    <w:rsid w:val="6CBA56EB"/>
    <w:rsid w:val="6D330207"/>
    <w:rsid w:val="6DEC6177"/>
    <w:rsid w:val="6E8421A4"/>
    <w:rsid w:val="6F2C1224"/>
    <w:rsid w:val="702D552A"/>
    <w:rsid w:val="707D002B"/>
    <w:rsid w:val="70B82449"/>
    <w:rsid w:val="70BA1EAD"/>
    <w:rsid w:val="731C06E4"/>
    <w:rsid w:val="73857909"/>
    <w:rsid w:val="753F5076"/>
    <w:rsid w:val="75F70416"/>
    <w:rsid w:val="761D53B8"/>
    <w:rsid w:val="766B5AF1"/>
    <w:rsid w:val="76BD4AA0"/>
    <w:rsid w:val="77A44D37"/>
    <w:rsid w:val="780303A7"/>
    <w:rsid w:val="78770069"/>
    <w:rsid w:val="788444BD"/>
    <w:rsid w:val="79E70D50"/>
    <w:rsid w:val="7A701E5F"/>
    <w:rsid w:val="7A857952"/>
    <w:rsid w:val="7AC434F5"/>
    <w:rsid w:val="7AE04154"/>
    <w:rsid w:val="7AE27DA9"/>
    <w:rsid w:val="7B9C5FB8"/>
    <w:rsid w:val="7CD0280D"/>
    <w:rsid w:val="7E8B668E"/>
    <w:rsid w:val="7F5B0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68"/>
      <w:ind w:left="1355" w:right="1355"/>
      <w:jc w:val="center"/>
      <w:outlineLvl w:val="0"/>
    </w:pPr>
    <w:rPr>
      <w:sz w:val="32"/>
      <w:szCs w:val="32"/>
    </w:rPr>
  </w:style>
  <w:style w:type="paragraph" w:styleId="3">
    <w:name w:val="heading 2"/>
    <w:basedOn w:val="1"/>
    <w:next w:val="1"/>
    <w:qFormat/>
    <w:uiPriority w:val="1"/>
    <w:pPr>
      <w:ind w:left="1766" w:right="1777"/>
      <w:jc w:val="center"/>
      <w:outlineLvl w:val="1"/>
    </w:pPr>
    <w:rPr>
      <w:b/>
      <w:bCs/>
      <w:sz w:val="30"/>
      <w:szCs w:val="30"/>
    </w:rPr>
  </w:style>
  <w:style w:type="paragraph" w:styleId="4">
    <w:name w:val="heading 3"/>
    <w:basedOn w:val="1"/>
    <w:next w:val="1"/>
    <w:qFormat/>
    <w:uiPriority w:val="1"/>
    <w:pPr>
      <w:ind w:left="115"/>
      <w:jc w:val="both"/>
      <w:outlineLvl w:val="2"/>
    </w:pPr>
    <w:rPr>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qFormat/>
    <w:uiPriority w:val="1"/>
    <w:pPr>
      <w:spacing w:before="53"/>
      <w:ind w:left="598"/>
    </w:pPr>
    <w:rPr>
      <w:sz w:val="24"/>
      <w:szCs w:val="24"/>
    </w:rPr>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spacing w:before="293"/>
      <w:ind w:left="118"/>
    </w:pPr>
    <w:rPr>
      <w:sz w:val="24"/>
      <w:szCs w:val="24"/>
    </w:rPr>
  </w:style>
  <w:style w:type="paragraph" w:styleId="10">
    <w:name w:val="Normal (Web)"/>
    <w:basedOn w:val="1"/>
    <w:qFormat/>
    <w:uiPriority w:val="99"/>
    <w:pPr>
      <w:widowControl/>
      <w:spacing w:before="100" w:beforeAutospacing="1" w:after="100" w:afterAutospacing="1"/>
    </w:pPr>
    <w:rPr>
      <w:sz w:val="24"/>
    </w:rPr>
  </w:style>
  <w:style w:type="paragraph" w:styleId="11">
    <w:name w:val="Body Text First Indent"/>
    <w:basedOn w:val="6"/>
    <w:qFormat/>
    <w:uiPriority w:val="99"/>
    <w:pPr>
      <w:ind w:firstLine="420" w:firstLineChars="100"/>
    </w:pPr>
  </w:style>
  <w:style w:type="character" w:styleId="14">
    <w:name w:val="Strong"/>
    <w:qFormat/>
    <w:uiPriority w:val="99"/>
    <w:rPr>
      <w:rFonts w:cs="Times New Roman"/>
      <w:b/>
      <w:bCs/>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spacing w:before="53"/>
      <w:ind w:left="118" w:firstLine="480"/>
    </w:pPr>
  </w:style>
  <w:style w:type="paragraph" w:customStyle="1" w:styleId="17">
    <w:name w:val="Table Paragraph"/>
    <w:basedOn w:val="1"/>
    <w:qFormat/>
    <w:uiPriority w:val="1"/>
  </w:style>
  <w:style w:type="paragraph" w:customStyle="1" w:styleId="18">
    <w:name w:val="Revision"/>
    <w:hidden/>
    <w:semiHidden/>
    <w:qFormat/>
    <w:uiPriority w:val="99"/>
    <w:rPr>
      <w:rFonts w:ascii="宋体" w:hAnsi="宋体" w:eastAsia="宋体" w:cs="宋体"/>
      <w:sz w:val="22"/>
      <w:szCs w:val="22"/>
      <w:lang w:val="zh-CN" w:eastAsia="zh-CN" w:bidi="zh-CN"/>
    </w:rPr>
  </w:style>
  <w:style w:type="character" w:customStyle="1" w:styleId="19">
    <w:name w:val="页眉 字符"/>
    <w:basedOn w:val="13"/>
    <w:link w:val="8"/>
    <w:qFormat/>
    <w:uiPriority w:val="0"/>
    <w:rPr>
      <w:rFonts w:ascii="宋体" w:hAnsi="宋体" w:eastAsia="宋体" w:cs="宋体"/>
      <w:sz w:val="18"/>
      <w:szCs w:val="18"/>
      <w:lang w:val="zh-CN" w:bidi="zh-CN"/>
    </w:rPr>
  </w:style>
  <w:style w:type="character" w:customStyle="1" w:styleId="20">
    <w:name w:val="页脚 字符"/>
    <w:basedOn w:val="13"/>
    <w:link w:val="7"/>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5256</Words>
  <Characters>5478</Characters>
  <Lines>32</Lines>
  <Paragraphs>9</Paragraphs>
  <TotalTime>4</TotalTime>
  <ScaleCrop>false</ScaleCrop>
  <LinksUpToDate>false</LinksUpToDate>
  <CharactersWithSpaces>5581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2022-10-19T08:10:00Z</dcterms:created>
  <dc:creator>star</dc:creator>
  <cp:lastModifiedBy>毛星宁</cp:lastModifiedBy>
  <dcterms:modified xsi:type="dcterms:W3CDTF">2023-06-27T04:12:02Z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2021-10-06T00:00:00Z</vt:filetime>
  </property>
  <property fmtid="{D5CDD505-2E9C-101B-9397-08002B2CF9AE}" pid="3" name="Creator">
    <vt:lpwstr>Microsoft® Word 适用于 Microsoft 365</vt:lpwstr>
  </property>
  <property fmtid="{D5CDD505-2E9C-101B-9397-08002B2CF9AE}" pid="4" name="LastSaved">
    <vt:filetime>2022-10-19T00:00:00Z</vt:filetime>
  </property>
  <property fmtid="{D5CDD505-2E9C-101B-9397-08002B2CF9AE}" pid="5" name="KSOProductBuildVer">
    <vt:lpwstr>2052-11.1.0.14309</vt:lpwstr>
  </property>
  <property fmtid="{D5CDD505-2E9C-101B-9397-08002B2CF9AE}" pid="6" name="ICV">
    <vt:lpwstr>4375A2E75D394242B6CF154728C96927</vt:lpwstr>
  </property>
</Properties>
</file>