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宋体" w:hAnsi="宋体"/>
          <w:b/>
          <w:color w:val="auto"/>
          <w:sz w:val="32"/>
          <w:szCs w:val="32"/>
        </w:rPr>
      </w:pPr>
      <w:r>
        <w:rPr>
          <w:rStyle w:val="19"/>
          <w:rFonts w:hint="eastAsia" w:ascii="黑体" w:hAnsi="黑体"/>
          <w:color w:val="auto"/>
        </w:rPr>
        <w:t>四年制公共事业管理专业（社会医疗保障方向）中外合作办学项目人才培养方案（出国版）</w:t>
      </w:r>
    </w:p>
    <w:p>
      <w:pPr>
        <w:rPr>
          <w:rFonts w:ascii="宋体" w:hAnsi="宋体"/>
          <w:b/>
          <w:color w:val="auto"/>
          <w:sz w:val="24"/>
        </w:rPr>
      </w:pPr>
      <w:r>
        <w:rPr>
          <w:rFonts w:hint="eastAsia" w:ascii="宋体" w:hAnsi="宋体"/>
          <w:b/>
          <w:color w:val="auto"/>
          <w:sz w:val="24"/>
        </w:rPr>
        <w:t>一、培养目标</w:t>
      </w:r>
    </w:p>
    <w:p>
      <w:pPr>
        <w:ind w:firstLine="480" w:firstLineChars="200"/>
        <w:rPr>
          <w:rFonts w:ascii="宋体" w:hAnsi="宋体" w:cs="Arial"/>
          <w:color w:val="auto"/>
          <w:kern w:val="0"/>
          <w:sz w:val="24"/>
        </w:rPr>
      </w:pPr>
      <w:r>
        <w:rPr>
          <w:rFonts w:hint="eastAsia" w:ascii="宋体" w:hAnsi="宋体" w:cs="Arial"/>
          <w:color w:val="auto"/>
          <w:kern w:val="0"/>
          <w:sz w:val="24"/>
        </w:rPr>
        <w:t>培养</w:t>
      </w:r>
      <w:r>
        <w:rPr>
          <w:rFonts w:hint="eastAsia" w:ascii="宋体" w:hAnsi="宋体" w:cs="Arial"/>
          <w:color w:val="000000" w:themeColor="text1"/>
          <w:kern w:val="0"/>
          <w:sz w:val="24"/>
          <w:highlight w:val="none"/>
          <w14:textFill>
            <w14:solidFill>
              <w14:schemeClr w14:val="tx1"/>
            </w14:solidFill>
          </w14:textFill>
        </w:rPr>
        <w:t>德智体美劳全面发展</w:t>
      </w:r>
      <w:r>
        <w:rPr>
          <w:rFonts w:hint="eastAsia" w:ascii="宋体" w:hAnsi="宋体" w:cs="Arial"/>
          <w:color w:val="000000" w:themeColor="text1"/>
          <w:kern w:val="0"/>
          <w:sz w:val="24"/>
          <w:lang w:eastAsia="zh-CN"/>
          <w14:textFill>
            <w14:solidFill>
              <w14:schemeClr w14:val="tx1"/>
            </w14:solidFill>
          </w14:textFill>
        </w:rPr>
        <w:t>，</w:t>
      </w:r>
      <w:bookmarkStart w:id="1" w:name="_GoBack"/>
      <w:bookmarkEnd w:id="1"/>
      <w:r>
        <w:rPr>
          <w:rFonts w:hint="eastAsia" w:ascii="宋体" w:hAnsi="宋体" w:cs="Arial"/>
          <w:color w:val="auto"/>
          <w:kern w:val="0"/>
          <w:sz w:val="24"/>
        </w:rPr>
        <w:t>具备“以人为本、公平正义”的专业价值观和全球适应性；掌握社会医疗保障方面的理论、技术与方法等基本知识，熟悉相关政策与法规知识，具有良好的社会责任感、职业道德和人文素养，具备较强的专业技能、沟通能力、读写能力；能在以社会医疗保险部门为主的各级各类社会保障管理与经办部门、商业性保险机构、医疗卫生机构、高等院校、科研机构、跨国公司、大中型企业人力资源管理部门从事与医疗保险领域相关的管理、研究及经营工作的复合型应用人才。</w:t>
      </w:r>
    </w:p>
    <w:p>
      <w:pPr>
        <w:rPr>
          <w:rFonts w:ascii="宋体" w:hAnsi="宋体" w:cs="Arial"/>
          <w:b/>
          <w:color w:val="auto"/>
          <w:kern w:val="0"/>
          <w:sz w:val="24"/>
        </w:rPr>
      </w:pPr>
      <w:r>
        <w:rPr>
          <w:rFonts w:hint="eastAsia" w:ascii="宋体" w:hAnsi="宋体" w:cs="Arial"/>
          <w:b/>
          <w:color w:val="auto"/>
          <w:kern w:val="0"/>
          <w:sz w:val="24"/>
        </w:rPr>
        <w:t>二、培养要求</w:t>
      </w:r>
    </w:p>
    <w:p>
      <w:pPr>
        <w:ind w:firstLine="480" w:firstLineChars="200"/>
        <w:rPr>
          <w:rFonts w:ascii="宋体" w:hAnsi="宋体"/>
          <w:color w:val="auto"/>
          <w:sz w:val="24"/>
        </w:rPr>
      </w:pPr>
      <w:r>
        <w:rPr>
          <w:rFonts w:hint="eastAsia" w:ascii="宋体" w:hAnsi="宋体"/>
          <w:color w:val="auto"/>
          <w:sz w:val="24"/>
        </w:rPr>
        <w:t>（一）思想道德与职业素质方面</w:t>
      </w:r>
    </w:p>
    <w:p>
      <w:pPr>
        <w:ind w:firstLine="480" w:firstLineChars="200"/>
        <w:rPr>
          <w:rFonts w:ascii="宋体" w:hAnsi="宋体"/>
          <w:color w:val="auto"/>
          <w:sz w:val="24"/>
        </w:rPr>
      </w:pPr>
      <w:r>
        <w:rPr>
          <w:rFonts w:hint="eastAsia" w:ascii="宋体" w:hAnsi="宋体"/>
          <w:color w:val="auto"/>
          <w:sz w:val="24"/>
        </w:rPr>
        <w:t>1．热爱祖国、遵纪守法、能够履行作为公民的社会责任；树立科学、理性的世界观、人生观和价值观；坚守“以人为本、公平正义”的专业立场和社会责任感，愿为祖国的社会医疗保障事业和人民的幸福不懈奋斗。</w:t>
      </w:r>
    </w:p>
    <w:p>
      <w:pPr>
        <w:ind w:firstLine="480" w:firstLineChars="200"/>
        <w:rPr>
          <w:rFonts w:ascii="宋体" w:hAnsi="宋体"/>
          <w:color w:val="auto"/>
          <w:sz w:val="24"/>
        </w:rPr>
      </w:pPr>
      <w:r>
        <w:rPr>
          <w:rFonts w:hint="eastAsia" w:ascii="宋体" w:hAnsi="宋体"/>
          <w:color w:val="auto"/>
          <w:sz w:val="24"/>
        </w:rPr>
        <w:t>2.具有良好的思想品德和职业道德，诚实守信、仁慈博爱；具有创新、创业精神；具备较广泛的社会科学理论及人文、自然科学知识；拥有全球视野，具备对多元文化和价值观的理解能力、批判能力和交流能力。</w:t>
      </w:r>
    </w:p>
    <w:p>
      <w:pPr>
        <w:ind w:firstLine="480" w:firstLineChars="200"/>
        <w:rPr>
          <w:rFonts w:ascii="宋体" w:hAnsi="宋体"/>
          <w:color w:val="auto"/>
          <w:sz w:val="24"/>
        </w:rPr>
      </w:pPr>
      <w:r>
        <w:rPr>
          <w:rFonts w:hint="eastAsia" w:ascii="宋体" w:hAnsi="宋体"/>
          <w:color w:val="auto"/>
          <w:sz w:val="24"/>
        </w:rPr>
        <w:t>3．具有对自然、社会和伦理道德问题进行科学认识，理性思考的能力；具有创新思维，行动力和团队协作精神。</w:t>
      </w:r>
    </w:p>
    <w:p>
      <w:pPr>
        <w:ind w:firstLine="480" w:firstLineChars="200"/>
        <w:rPr>
          <w:rFonts w:ascii="宋体" w:hAnsi="宋体"/>
          <w:color w:val="auto"/>
          <w:sz w:val="24"/>
        </w:rPr>
      </w:pPr>
      <w:r>
        <w:rPr>
          <w:rFonts w:hint="eastAsia" w:ascii="宋体" w:hAnsi="宋体"/>
          <w:color w:val="auto"/>
          <w:sz w:val="24"/>
        </w:rPr>
        <w:t>4．身心健康，体魄健全，能够履行建设祖国和保卫祖国的神圣义务。</w:t>
      </w:r>
    </w:p>
    <w:p>
      <w:pPr>
        <w:ind w:firstLine="480" w:firstLineChars="200"/>
        <w:rPr>
          <w:rFonts w:ascii="宋体" w:hAnsi="宋体"/>
          <w:color w:val="auto"/>
          <w:sz w:val="24"/>
        </w:rPr>
      </w:pPr>
      <w:r>
        <w:rPr>
          <w:rFonts w:hint="eastAsia" w:ascii="宋体" w:hAnsi="宋体"/>
          <w:color w:val="auto"/>
          <w:sz w:val="24"/>
        </w:rPr>
        <w:t>（二）知识和技能方面</w:t>
      </w:r>
    </w:p>
    <w:p>
      <w:pPr>
        <w:ind w:firstLine="480" w:firstLineChars="200"/>
        <w:rPr>
          <w:rFonts w:ascii="宋体" w:hAnsi="宋体"/>
          <w:color w:val="auto"/>
          <w:sz w:val="24"/>
        </w:rPr>
      </w:pPr>
      <w:r>
        <w:rPr>
          <w:rFonts w:hint="eastAsia" w:ascii="宋体" w:hAnsi="宋体"/>
          <w:color w:val="auto"/>
          <w:sz w:val="24"/>
        </w:rPr>
        <w:t>1．管理学、经济学、保险学的基本理念和方法；</w:t>
      </w:r>
    </w:p>
    <w:p>
      <w:pPr>
        <w:ind w:firstLine="480" w:firstLineChars="200"/>
        <w:rPr>
          <w:rFonts w:ascii="宋体" w:hAnsi="宋体"/>
          <w:color w:val="auto"/>
          <w:sz w:val="24"/>
        </w:rPr>
      </w:pPr>
      <w:r>
        <w:rPr>
          <w:rFonts w:hint="eastAsia" w:ascii="宋体" w:hAnsi="宋体"/>
          <w:color w:val="auto"/>
          <w:sz w:val="24"/>
        </w:rPr>
        <w:t>2．必需的临床医学知识，以及卫生经济学、社会保障学的基本理论和基本知识；</w:t>
      </w:r>
    </w:p>
    <w:p>
      <w:pPr>
        <w:ind w:firstLine="480" w:firstLineChars="200"/>
        <w:rPr>
          <w:rFonts w:ascii="宋体" w:hAnsi="宋体"/>
          <w:color w:val="auto"/>
          <w:sz w:val="24"/>
        </w:rPr>
      </w:pPr>
      <w:r>
        <w:rPr>
          <w:rFonts w:hint="eastAsia" w:ascii="宋体" w:hAnsi="宋体"/>
          <w:color w:val="auto"/>
          <w:sz w:val="24"/>
        </w:rPr>
        <w:t>3．国内外以社会医疗保障为主的劳动与社会保障理论及实践的历史和现状，国内外商业医疗保险的发展状况；</w:t>
      </w:r>
    </w:p>
    <w:p>
      <w:pPr>
        <w:ind w:firstLine="480" w:firstLineChars="200"/>
        <w:rPr>
          <w:rFonts w:ascii="宋体" w:hAnsi="宋体"/>
          <w:color w:val="auto"/>
          <w:sz w:val="24"/>
        </w:rPr>
      </w:pPr>
      <w:r>
        <w:rPr>
          <w:rFonts w:hint="eastAsia" w:ascii="宋体" w:hAnsi="宋体"/>
          <w:color w:val="auto"/>
          <w:sz w:val="24"/>
        </w:rPr>
        <w:t>4．社会保险与商业保险的基本知识及运行操作能力；</w:t>
      </w:r>
    </w:p>
    <w:p>
      <w:pPr>
        <w:ind w:firstLine="480" w:firstLineChars="200"/>
        <w:rPr>
          <w:rFonts w:ascii="宋体" w:hAnsi="宋体"/>
          <w:color w:val="auto"/>
          <w:sz w:val="24"/>
        </w:rPr>
      </w:pPr>
      <w:r>
        <w:rPr>
          <w:rFonts w:hint="eastAsia" w:ascii="宋体" w:hAnsi="宋体"/>
          <w:color w:val="auto"/>
          <w:sz w:val="24"/>
        </w:rPr>
        <w:t>5．具备文献检索、资料查询、计算机应用等现代技术手段进行调查分析和实际操作的能力，能运用所学知识开展调查研究，并撰写报告和论文；</w:t>
      </w:r>
    </w:p>
    <w:p>
      <w:pPr>
        <w:ind w:firstLine="480"/>
        <w:rPr>
          <w:rFonts w:ascii="宋体" w:hAnsi="宋体"/>
          <w:color w:val="auto"/>
          <w:sz w:val="24"/>
        </w:rPr>
      </w:pPr>
      <w:r>
        <w:rPr>
          <w:rFonts w:hint="eastAsia" w:ascii="宋体" w:hAnsi="宋体"/>
          <w:color w:val="auto"/>
          <w:sz w:val="24"/>
        </w:rPr>
        <w:t>6．熟练掌握一门外语，达到国家大学英语考试四级水平或通过广西医科大学本科学位英语统测，能够运用英语阅读、翻译本专业文献。</w:t>
      </w:r>
    </w:p>
    <w:p>
      <w:pPr>
        <w:rPr>
          <w:rFonts w:ascii="宋体" w:hAnsi="宋体" w:cs="Arial"/>
          <w:b/>
          <w:color w:val="auto"/>
          <w:kern w:val="0"/>
          <w:sz w:val="24"/>
        </w:rPr>
      </w:pPr>
      <w:r>
        <w:rPr>
          <w:rFonts w:hint="eastAsia" w:ascii="宋体" w:hAnsi="宋体" w:cs="Arial"/>
          <w:b/>
          <w:color w:val="auto"/>
          <w:kern w:val="0"/>
          <w:sz w:val="24"/>
        </w:rPr>
        <w:t>三、主干学科与主要课程</w:t>
      </w:r>
    </w:p>
    <w:p>
      <w:pPr>
        <w:ind w:firstLine="482"/>
        <w:rPr>
          <w:rFonts w:ascii="宋体" w:hAnsi="宋体" w:cs="宋体"/>
          <w:color w:val="auto"/>
          <w:kern w:val="0"/>
          <w:sz w:val="24"/>
        </w:rPr>
      </w:pPr>
      <w:r>
        <w:rPr>
          <w:rFonts w:hint="eastAsia" w:ascii="宋体" w:hAnsi="宋体" w:cs="Arial"/>
          <w:color w:val="auto"/>
          <w:kern w:val="0"/>
          <w:sz w:val="24"/>
        </w:rPr>
        <w:t>（一）主干学科：</w:t>
      </w:r>
      <w:r>
        <w:rPr>
          <w:rFonts w:hint="eastAsia" w:ascii="宋体" w:hAnsi="宋体" w:cs="宋体"/>
          <w:color w:val="auto"/>
          <w:kern w:val="0"/>
          <w:sz w:val="24"/>
        </w:rPr>
        <w:t>管理学、经济学、医学。</w:t>
      </w:r>
    </w:p>
    <w:p>
      <w:pPr>
        <w:ind w:firstLine="482"/>
        <w:rPr>
          <w:rFonts w:ascii="宋体" w:hAnsi="宋体" w:cs="宋体"/>
          <w:color w:val="auto"/>
          <w:kern w:val="0"/>
          <w:sz w:val="24"/>
        </w:rPr>
      </w:pPr>
      <w:r>
        <w:rPr>
          <w:rFonts w:hint="eastAsia" w:ascii="宋体" w:hAnsi="宋体" w:cs="宋体"/>
          <w:color w:val="auto"/>
          <w:kern w:val="0"/>
          <w:sz w:val="24"/>
        </w:rPr>
        <w:t>（二）主要课程：</w:t>
      </w:r>
    </w:p>
    <w:p>
      <w:pPr>
        <w:ind w:firstLine="482"/>
        <w:rPr>
          <w:b/>
          <w:color w:val="auto"/>
        </w:rPr>
      </w:pPr>
      <w:r>
        <w:rPr>
          <w:rFonts w:hint="eastAsia" w:ascii="宋体" w:hAnsi="宋体" w:cs="宋体"/>
          <w:color w:val="auto"/>
          <w:kern w:val="0"/>
          <w:sz w:val="24"/>
        </w:rPr>
        <w:t>计算机应用基础、高等数学、基础医学概论、临床医学概论、法医临床学、政治学原理、基础微观经济学、社会统计学（含统计软件应用）、社会保障研究方法、公共经济学、社会保障概论、公共事业管理概论、基础心理学、管理学基础、管理学专业外语、商业道德、商业与社会、公共关系学、组织行为学、公共政策、基础宏观经济学、英语议论文写作、英语公共演讲、非政府组织管理、保险学概论、社区及公共卫生、金融会计学、病案信息学、保险实务（核保与理赔）、医疗保险学、养老院的医疗管理、人力资源管理、英语学术写作、法学概论。</w:t>
      </w:r>
    </w:p>
    <w:p>
      <w:pPr>
        <w:pStyle w:val="11"/>
        <w:spacing w:before="0" w:beforeAutospacing="0" w:after="0" w:afterAutospacing="0"/>
        <w:rPr>
          <w:b/>
          <w:color w:val="auto"/>
        </w:rPr>
      </w:pPr>
      <w:r>
        <w:rPr>
          <w:rFonts w:hint="eastAsia"/>
          <w:b/>
          <w:color w:val="auto"/>
        </w:rPr>
        <w:t>四、主要实践教学环节</w:t>
      </w:r>
    </w:p>
    <w:p>
      <w:pPr>
        <w:pStyle w:val="11"/>
        <w:spacing w:before="0" w:beforeAutospacing="0" w:after="0" w:afterAutospacing="0"/>
        <w:ind w:firstLine="480" w:firstLineChars="200"/>
        <w:rPr>
          <w:color w:val="auto"/>
        </w:rPr>
      </w:pPr>
      <w:r>
        <w:rPr>
          <w:rFonts w:hint="eastAsia"/>
          <w:color w:val="auto"/>
        </w:rPr>
        <w:t>（一）军事训练2周，安排在第一学期进行，计2学分。</w:t>
      </w:r>
    </w:p>
    <w:p>
      <w:pPr>
        <w:pStyle w:val="11"/>
        <w:spacing w:before="0" w:beforeAutospacing="0" w:after="0" w:afterAutospacing="0"/>
        <w:ind w:firstLine="480" w:firstLineChars="200"/>
        <w:rPr>
          <w:color w:val="auto"/>
        </w:rPr>
      </w:pPr>
      <w:r>
        <w:rPr>
          <w:rFonts w:hint="eastAsia"/>
          <w:color w:val="auto"/>
        </w:rPr>
        <w:t>（二）社会实践（含公益劳动）2周，计2学分。</w:t>
      </w:r>
    </w:p>
    <w:p>
      <w:pPr>
        <w:pStyle w:val="11"/>
        <w:spacing w:before="0" w:beforeAutospacing="0" w:after="0" w:afterAutospacing="0"/>
        <w:ind w:firstLine="480" w:firstLineChars="200"/>
        <w:rPr>
          <w:color w:val="auto"/>
        </w:rPr>
      </w:pPr>
      <w:r>
        <w:rPr>
          <w:rFonts w:hint="eastAsia"/>
          <w:color w:val="auto"/>
        </w:rPr>
        <w:t>（三）学生若在大四进入合作办学单位美国西俄勒冈大学，能按照协议及其他相关规定获得美方本科学位证，可以免除大四需要进行毕业实习（包括毕业论文）。</w:t>
      </w:r>
    </w:p>
    <w:p>
      <w:pPr>
        <w:pStyle w:val="11"/>
        <w:spacing w:before="0" w:beforeAutospacing="0" w:after="0" w:afterAutospacing="0"/>
        <w:ind w:firstLine="480" w:firstLineChars="200"/>
        <w:rPr>
          <w:color w:val="auto"/>
        </w:rPr>
      </w:pPr>
      <w:r>
        <w:rPr>
          <w:rFonts w:hint="eastAsia"/>
          <w:color w:val="auto"/>
        </w:rPr>
        <w:t>（四）创新创业素质拓展，3学分。</w:t>
      </w:r>
    </w:p>
    <w:p>
      <w:pPr>
        <w:pStyle w:val="11"/>
        <w:spacing w:before="0" w:beforeAutospacing="0" w:after="0" w:afterAutospacing="0"/>
        <w:ind w:firstLine="480" w:firstLineChars="200"/>
        <w:rPr>
          <w:color w:val="auto"/>
        </w:rPr>
      </w:pPr>
      <w:r>
        <w:rPr>
          <w:rFonts w:hint="eastAsia"/>
          <w:color w:val="auto"/>
        </w:rPr>
        <w:t>1.主持并完成“大学生创新创业训练计划项目”或“未来学术之星”等科研项目的，每项3学分；参与以上项目的，每项1.5学分；</w:t>
      </w:r>
    </w:p>
    <w:p>
      <w:pPr>
        <w:pStyle w:val="11"/>
        <w:spacing w:before="0" w:beforeAutospacing="0" w:after="0" w:afterAutospacing="0"/>
        <w:ind w:firstLine="480" w:firstLineChars="200"/>
        <w:rPr>
          <w:color w:val="auto"/>
        </w:rPr>
      </w:pPr>
      <w:r>
        <w:rPr>
          <w:rFonts w:hint="eastAsia"/>
          <w:color w:val="auto"/>
        </w:rPr>
        <w:t>2.主持“互联网+”大学生创新创业大赛项目，报名成功并进入校级比赛的，每项</w:t>
      </w:r>
    </w:p>
    <w:p>
      <w:pPr>
        <w:pStyle w:val="11"/>
        <w:spacing w:before="0" w:beforeAutospacing="0" w:after="0" w:afterAutospacing="0"/>
        <w:rPr>
          <w:color w:val="auto"/>
        </w:rPr>
      </w:pPr>
      <w:r>
        <w:rPr>
          <w:rFonts w:hint="eastAsia"/>
          <w:color w:val="auto"/>
        </w:rPr>
        <w:t>3学分；参与该项目的，每项1.5学分；</w:t>
      </w:r>
    </w:p>
    <w:p>
      <w:pPr>
        <w:pStyle w:val="11"/>
        <w:spacing w:before="0" w:beforeAutospacing="0" w:after="0" w:afterAutospacing="0"/>
        <w:ind w:firstLine="480" w:firstLineChars="200"/>
        <w:rPr>
          <w:color w:val="auto"/>
        </w:rPr>
      </w:pPr>
      <w:r>
        <w:rPr>
          <w:rFonts w:hint="eastAsia"/>
          <w:color w:val="auto"/>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11"/>
        <w:spacing w:before="0" w:beforeAutospacing="0" w:after="0" w:afterAutospacing="0"/>
        <w:rPr>
          <w:rStyle w:val="15"/>
          <w:color w:val="auto"/>
        </w:rPr>
      </w:pPr>
      <w:r>
        <w:rPr>
          <w:rStyle w:val="15"/>
          <w:rFonts w:hint="eastAsia"/>
          <w:color w:val="auto"/>
        </w:rPr>
        <w:t>五</w:t>
      </w:r>
      <w:r>
        <w:rPr>
          <w:rStyle w:val="15"/>
          <w:color w:val="auto"/>
        </w:rPr>
        <w:t>、课程设置</w:t>
      </w:r>
    </w:p>
    <w:p>
      <w:pPr>
        <w:pStyle w:val="11"/>
        <w:spacing w:before="0" w:beforeAutospacing="0" w:after="0" w:afterAutospacing="0"/>
        <w:ind w:firstLine="480" w:firstLineChars="200"/>
        <w:rPr>
          <w:rFonts w:cs="宋体"/>
          <w:color w:val="auto"/>
        </w:rPr>
      </w:pPr>
      <w:r>
        <w:rPr>
          <w:rFonts w:hint="eastAsia" w:cs="宋体"/>
          <w:color w:val="auto"/>
        </w:rPr>
        <w:t>（一）必修课程（国内课程共</w:t>
      </w:r>
      <w:r>
        <w:rPr>
          <w:rFonts w:cs="宋体"/>
          <w:color w:val="auto"/>
        </w:rPr>
        <w:t>47</w:t>
      </w:r>
      <w:r>
        <w:rPr>
          <w:rFonts w:hint="eastAsia" w:cs="宋体"/>
          <w:color w:val="auto"/>
        </w:rPr>
        <w:t>门、</w:t>
      </w:r>
      <w:r>
        <w:rPr>
          <w:rFonts w:cs="宋体"/>
          <w:color w:val="auto"/>
        </w:rPr>
        <w:t>1937</w:t>
      </w:r>
      <w:r>
        <w:rPr>
          <w:rFonts w:hint="eastAsia" w:cs="宋体"/>
          <w:color w:val="auto"/>
        </w:rPr>
        <w:t>学时、</w:t>
      </w:r>
      <w:r>
        <w:rPr>
          <w:rFonts w:cs="宋体"/>
          <w:color w:val="auto"/>
        </w:rPr>
        <w:t>97</w:t>
      </w:r>
      <w:r>
        <w:rPr>
          <w:rFonts w:hint="eastAsia" w:cs="宋体"/>
          <w:color w:val="auto"/>
        </w:rPr>
        <w:t>学分；详见“出国版”和“不出国版”教学进程表）</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（二）限选课程（</w:t>
      </w:r>
      <w:r>
        <w:rPr>
          <w:rFonts w:ascii="宋体" w:cs="宋体"/>
          <w:color w:val="auto"/>
          <w:kern w:val="0"/>
          <w:sz w:val="24"/>
        </w:rPr>
        <w:t>16</w:t>
      </w:r>
      <w:r>
        <w:rPr>
          <w:rFonts w:hint="eastAsia" w:ascii="宋体" w:cs="宋体"/>
          <w:color w:val="auto"/>
          <w:kern w:val="0"/>
          <w:sz w:val="24"/>
        </w:rPr>
        <w:t>学分）</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（三）任选课（</w:t>
      </w:r>
      <w:r>
        <w:rPr>
          <w:rFonts w:ascii="宋体" w:cs="宋体"/>
          <w:color w:val="auto"/>
          <w:kern w:val="0"/>
          <w:sz w:val="24"/>
        </w:rPr>
        <w:t>12</w:t>
      </w:r>
      <w:r>
        <w:rPr>
          <w:rFonts w:hint="eastAsia" w:ascii="宋体" w:cs="宋体"/>
          <w:color w:val="auto"/>
          <w:kern w:val="0"/>
          <w:sz w:val="24"/>
        </w:rPr>
        <w:t>学分）</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参加《普通话》任选课学习并通过考试或执行参见普通话水平测试分数达到二级乙等（</w:t>
      </w:r>
      <w:r>
        <w:rPr>
          <w:rFonts w:ascii="宋体" w:cs="宋体"/>
          <w:color w:val="auto"/>
          <w:kern w:val="0"/>
          <w:sz w:val="24"/>
        </w:rPr>
        <w:t>80</w:t>
      </w:r>
      <w:r>
        <w:rPr>
          <w:rFonts w:hint="eastAsia" w:ascii="宋体" w:cs="宋体"/>
          <w:color w:val="auto"/>
          <w:kern w:val="0"/>
          <w:sz w:val="24"/>
        </w:rPr>
        <w:t>分）及以上，可计</w:t>
      </w:r>
      <w:r>
        <w:rPr>
          <w:rFonts w:ascii="宋体" w:cs="宋体"/>
          <w:color w:val="auto"/>
          <w:kern w:val="0"/>
          <w:sz w:val="24"/>
        </w:rPr>
        <w:t>1</w:t>
      </w:r>
      <w:r>
        <w:rPr>
          <w:rFonts w:hint="eastAsia" w:ascii="宋体" w:cs="宋体"/>
          <w:color w:val="auto"/>
          <w:kern w:val="0"/>
          <w:sz w:val="24"/>
        </w:rPr>
        <w:t>学分；根据《广西医科大学本科生课外素质教育奖励学分管理办法》，奖励学分可作为任选课学分记载，但不得超过任选课学分的</w:t>
      </w:r>
      <w:r>
        <w:rPr>
          <w:rFonts w:ascii="宋体" w:cs="宋体"/>
          <w:color w:val="auto"/>
          <w:kern w:val="0"/>
          <w:sz w:val="24"/>
        </w:rPr>
        <w:t>50%</w:t>
      </w:r>
      <w:r>
        <w:rPr>
          <w:rFonts w:hint="eastAsia" w:ascii="宋体" w:cs="宋体"/>
          <w:color w:val="auto"/>
          <w:kern w:val="0"/>
          <w:sz w:val="24"/>
        </w:rPr>
        <w:t>。</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（四）专业选修课程（详见教学进程表）</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仅限于参与西俄勒冈大学合作办学项目的学生选修以下限选课学分：平面设计基础、乐理基础、舞蹈入门、世界历史导论、基础生物学、物理概要一、物理概要二、市场营销学、财务管理、证券管理、回归分析、运筹学导论、市场战略、战略管理、运筹管理。以上选修课共</w:t>
      </w:r>
      <w:r>
        <w:rPr>
          <w:rFonts w:ascii="宋体" w:cs="宋体"/>
          <w:color w:val="auto"/>
          <w:kern w:val="0"/>
          <w:sz w:val="24"/>
        </w:rPr>
        <w:t>624</w:t>
      </w:r>
      <w:r>
        <w:rPr>
          <w:rFonts w:hint="eastAsia" w:ascii="宋体" w:cs="宋体"/>
          <w:color w:val="auto"/>
          <w:kern w:val="0"/>
          <w:sz w:val="24"/>
        </w:rPr>
        <w:t>课时，</w:t>
      </w:r>
      <w:r>
        <w:rPr>
          <w:rFonts w:ascii="宋体" w:cs="宋体"/>
          <w:color w:val="auto"/>
          <w:kern w:val="0"/>
          <w:sz w:val="24"/>
        </w:rPr>
        <w:t>39</w:t>
      </w:r>
      <w:r>
        <w:rPr>
          <w:rFonts w:hint="eastAsia" w:ascii="宋体" w:cs="宋体"/>
          <w:color w:val="auto"/>
          <w:kern w:val="0"/>
          <w:sz w:val="24"/>
        </w:rPr>
        <w:t>学分，学生可自主选择网络慕课的方式进行，若未能修满，可在西俄勒冈大学按照美方要求的时间与收费标准补修。</w:t>
      </w:r>
    </w:p>
    <w:p>
      <w:pPr>
        <w:pStyle w:val="11"/>
        <w:spacing w:before="0" w:beforeAutospacing="0" w:after="0" w:afterAutospacing="0"/>
        <w:ind w:firstLine="472" w:firstLineChars="197"/>
        <w:rPr>
          <w:color w:val="auto"/>
        </w:rPr>
      </w:pPr>
      <w:r>
        <w:rPr>
          <w:rFonts w:hint="eastAsia"/>
          <w:color w:val="auto"/>
        </w:rPr>
        <w:t>（五）社会实践：</w:t>
      </w:r>
      <w:bookmarkStart w:id="0" w:name="_Hlk115171414"/>
      <w:r>
        <w:rPr>
          <w:rFonts w:hint="eastAsia"/>
          <w:color w:val="auto"/>
        </w:rPr>
        <w:t>共</w:t>
      </w:r>
      <w:r>
        <w:rPr>
          <w:color w:val="auto"/>
        </w:rPr>
        <w:t>2</w:t>
      </w:r>
      <w:r>
        <w:rPr>
          <w:rFonts w:hint="eastAsia"/>
          <w:color w:val="auto"/>
        </w:rPr>
        <w:t>周，</w:t>
      </w:r>
      <w:r>
        <w:rPr>
          <w:color w:val="auto"/>
        </w:rPr>
        <w:t>2</w:t>
      </w:r>
      <w:r>
        <w:rPr>
          <w:rFonts w:hint="eastAsia"/>
          <w:color w:val="auto"/>
        </w:rPr>
        <w:t>学分。</w:t>
      </w:r>
      <w:bookmarkEnd w:id="0"/>
    </w:p>
    <w:p>
      <w:pPr>
        <w:pStyle w:val="7"/>
        <w:spacing w:after="0" w:line="240" w:lineRule="auto"/>
        <w:ind w:left="0" w:leftChars="0" w:firstLine="480" w:firstLineChars="200"/>
        <w:rPr>
          <w:rStyle w:val="15"/>
          <w:rFonts w:ascii="宋体" w:hAnsi="宋体"/>
          <w:b w:val="0"/>
          <w:color w:val="auto"/>
          <w:sz w:val="24"/>
        </w:rPr>
      </w:pPr>
      <w:r>
        <w:rPr>
          <w:rStyle w:val="15"/>
          <w:rFonts w:hint="eastAsia" w:ascii="宋体" w:hAnsi="宋体"/>
          <w:b w:val="0"/>
          <w:color w:val="auto"/>
          <w:sz w:val="24"/>
        </w:rPr>
        <w:t>1</w:t>
      </w:r>
      <w:r>
        <w:rPr>
          <w:rStyle w:val="15"/>
          <w:rFonts w:ascii="宋体" w:hAnsi="宋体"/>
          <w:b w:val="0"/>
          <w:color w:val="auto"/>
          <w:sz w:val="24"/>
        </w:rPr>
        <w:t>.</w:t>
      </w:r>
      <w:r>
        <w:rPr>
          <w:rStyle w:val="15"/>
          <w:rFonts w:hint="eastAsia" w:ascii="宋体" w:hAnsi="宋体"/>
          <w:b w:val="0"/>
          <w:color w:val="auto"/>
          <w:sz w:val="24"/>
        </w:rPr>
        <w:t>假期</w:t>
      </w:r>
      <w:r>
        <w:rPr>
          <w:rStyle w:val="15"/>
          <w:rFonts w:ascii="宋体" w:hAnsi="宋体"/>
          <w:b w:val="0"/>
          <w:color w:val="auto"/>
          <w:sz w:val="24"/>
        </w:rPr>
        <w:t>社会实践</w:t>
      </w:r>
      <w:r>
        <w:rPr>
          <w:rStyle w:val="15"/>
          <w:rFonts w:hint="eastAsia" w:ascii="宋体" w:hAnsi="宋体"/>
          <w:b w:val="0"/>
          <w:color w:val="auto"/>
          <w:sz w:val="24"/>
        </w:rPr>
        <w:t>：</w:t>
      </w:r>
      <w:r>
        <w:rPr>
          <w:rStyle w:val="15"/>
          <w:rFonts w:ascii="宋体" w:hAnsi="宋体"/>
          <w:b w:val="0"/>
          <w:color w:val="auto"/>
          <w:sz w:val="24"/>
        </w:rPr>
        <w:t>寒暑</w:t>
      </w:r>
      <w:r>
        <w:rPr>
          <w:rStyle w:val="15"/>
          <w:rFonts w:hint="eastAsia" w:ascii="宋体" w:hAnsi="宋体"/>
          <w:b w:val="0"/>
          <w:color w:val="auto"/>
          <w:sz w:val="24"/>
        </w:rPr>
        <w:t>假</w:t>
      </w:r>
      <w:r>
        <w:rPr>
          <w:rStyle w:val="15"/>
          <w:rFonts w:ascii="宋体" w:hAnsi="宋体"/>
          <w:b w:val="0"/>
          <w:color w:val="auto"/>
          <w:sz w:val="24"/>
        </w:rPr>
        <w:t>社会实践</w:t>
      </w:r>
      <w:r>
        <w:rPr>
          <w:rStyle w:val="15"/>
          <w:rFonts w:hint="eastAsia" w:ascii="宋体" w:hAnsi="宋体"/>
          <w:b w:val="0"/>
          <w:color w:val="auto"/>
          <w:sz w:val="24"/>
        </w:rPr>
        <w:t>，36学时（1周）计1学分。</w:t>
      </w:r>
    </w:p>
    <w:p>
      <w:pPr>
        <w:pStyle w:val="7"/>
        <w:spacing w:after="0" w:line="240" w:lineRule="auto"/>
        <w:ind w:left="0" w:leftChars="0" w:firstLine="480" w:firstLineChars="200"/>
        <w:rPr>
          <w:rStyle w:val="15"/>
          <w:rFonts w:ascii="宋体" w:hAnsi="宋体"/>
          <w:b w:val="0"/>
          <w:color w:val="auto"/>
          <w:sz w:val="24"/>
        </w:rPr>
      </w:pPr>
      <w:r>
        <w:rPr>
          <w:rStyle w:val="15"/>
          <w:rFonts w:hint="eastAsia" w:ascii="宋体" w:hAnsi="宋体"/>
          <w:b w:val="0"/>
          <w:color w:val="auto"/>
          <w:sz w:val="24"/>
        </w:rPr>
        <w:t>2</w:t>
      </w:r>
      <w:r>
        <w:rPr>
          <w:rStyle w:val="15"/>
          <w:rFonts w:ascii="宋体" w:hAnsi="宋体"/>
          <w:b w:val="0"/>
          <w:color w:val="auto"/>
          <w:sz w:val="24"/>
        </w:rPr>
        <w:t>.</w:t>
      </w:r>
      <w:r>
        <w:rPr>
          <w:rStyle w:val="15"/>
          <w:rFonts w:hint="eastAsia" w:ascii="宋体" w:hAnsi="宋体"/>
          <w:b w:val="0"/>
          <w:color w:val="auto"/>
          <w:sz w:val="24"/>
        </w:rPr>
        <w:t>志愿</w:t>
      </w:r>
      <w:r>
        <w:rPr>
          <w:rStyle w:val="15"/>
          <w:rFonts w:ascii="宋体" w:hAnsi="宋体"/>
          <w:b w:val="0"/>
          <w:color w:val="auto"/>
          <w:sz w:val="24"/>
        </w:rPr>
        <w:t>服务：校内外志愿服务活动，</w:t>
      </w:r>
      <w:r>
        <w:rPr>
          <w:rStyle w:val="15"/>
          <w:rFonts w:hint="eastAsia" w:ascii="宋体" w:hAnsi="宋体"/>
          <w:b w:val="0"/>
          <w:color w:val="auto"/>
          <w:sz w:val="24"/>
        </w:rPr>
        <w:t>36学时（1周）计1学分。</w:t>
      </w:r>
    </w:p>
    <w:p>
      <w:pPr>
        <w:pStyle w:val="7"/>
        <w:spacing w:after="0" w:line="240" w:lineRule="auto"/>
        <w:ind w:left="0" w:leftChars="0" w:firstLine="480" w:firstLineChars="200"/>
        <w:rPr>
          <w:rStyle w:val="15"/>
          <w:rFonts w:ascii="宋体" w:hAnsi="宋体"/>
          <w:b w:val="0"/>
          <w:color w:val="auto"/>
          <w:sz w:val="24"/>
        </w:rPr>
      </w:pPr>
      <w:r>
        <w:rPr>
          <w:rStyle w:val="15"/>
          <w:rFonts w:hint="eastAsia" w:ascii="宋体" w:hAnsi="宋体"/>
          <w:b w:val="0"/>
          <w:color w:val="auto"/>
          <w:sz w:val="24"/>
        </w:rPr>
        <w:t>3</w:t>
      </w:r>
      <w:r>
        <w:rPr>
          <w:rStyle w:val="15"/>
          <w:rFonts w:ascii="宋体" w:hAnsi="宋体"/>
          <w:b w:val="0"/>
          <w:color w:val="auto"/>
          <w:sz w:val="24"/>
        </w:rPr>
        <w:t>.</w:t>
      </w:r>
      <w:r>
        <w:rPr>
          <w:rStyle w:val="15"/>
          <w:rFonts w:hint="eastAsia" w:ascii="宋体" w:hAnsi="宋体"/>
          <w:b w:val="0"/>
          <w:color w:val="auto"/>
          <w:sz w:val="24"/>
        </w:rPr>
        <w:t>公益劳动：</w:t>
      </w:r>
      <w:r>
        <w:rPr>
          <w:rStyle w:val="15"/>
          <w:rFonts w:ascii="宋体" w:hAnsi="宋体"/>
          <w:b w:val="0"/>
          <w:color w:val="auto"/>
          <w:sz w:val="24"/>
        </w:rPr>
        <w:t>校内外公益劳动</w:t>
      </w:r>
      <w:r>
        <w:rPr>
          <w:rStyle w:val="15"/>
          <w:rFonts w:hint="eastAsia" w:ascii="宋体" w:hAnsi="宋体"/>
          <w:b w:val="0"/>
          <w:color w:val="auto"/>
          <w:sz w:val="24"/>
        </w:rPr>
        <w:t>，</w:t>
      </w:r>
      <w:r>
        <w:rPr>
          <w:rStyle w:val="15"/>
          <w:rFonts w:ascii="宋体" w:hAnsi="宋体"/>
          <w:b w:val="0"/>
          <w:color w:val="auto"/>
          <w:sz w:val="24"/>
        </w:rPr>
        <w:t>每学期</w:t>
      </w:r>
      <w:r>
        <w:rPr>
          <w:rStyle w:val="15"/>
          <w:rFonts w:hint="eastAsia" w:ascii="宋体" w:hAnsi="宋体"/>
          <w:b w:val="0"/>
          <w:color w:val="auto"/>
          <w:sz w:val="24"/>
        </w:rPr>
        <w:t>1学时。</w:t>
      </w:r>
    </w:p>
    <w:p>
      <w:pPr>
        <w:pStyle w:val="7"/>
        <w:spacing w:after="0" w:line="240" w:lineRule="auto"/>
        <w:ind w:left="0" w:leftChars="0" w:firstLine="480" w:firstLineChars="200"/>
        <w:rPr>
          <w:rStyle w:val="15"/>
          <w:rFonts w:ascii="宋体" w:hAnsi="宋体"/>
          <w:b w:val="0"/>
          <w:color w:val="auto"/>
          <w:sz w:val="24"/>
        </w:rPr>
      </w:pPr>
      <w:r>
        <w:rPr>
          <w:rStyle w:val="15"/>
          <w:rFonts w:hint="eastAsia" w:ascii="宋体" w:hAnsi="宋体"/>
          <w:b w:val="0"/>
          <w:color w:val="auto"/>
          <w:sz w:val="24"/>
        </w:rPr>
        <w:t>单项或者</w:t>
      </w:r>
      <w:r>
        <w:rPr>
          <w:rStyle w:val="15"/>
          <w:rFonts w:ascii="宋体" w:hAnsi="宋体"/>
          <w:b w:val="0"/>
          <w:color w:val="auto"/>
          <w:sz w:val="24"/>
        </w:rPr>
        <w:t>两项累计学分满</w:t>
      </w:r>
      <w:r>
        <w:rPr>
          <w:rStyle w:val="15"/>
          <w:rFonts w:hint="eastAsia" w:ascii="宋体" w:hAnsi="宋体"/>
          <w:b w:val="0"/>
          <w:color w:val="auto"/>
          <w:sz w:val="24"/>
        </w:rPr>
        <w:t>2学分</w:t>
      </w:r>
      <w:r>
        <w:rPr>
          <w:rStyle w:val="15"/>
          <w:rFonts w:ascii="宋体" w:hAnsi="宋体"/>
          <w:b w:val="0"/>
          <w:color w:val="auto"/>
          <w:sz w:val="24"/>
        </w:rPr>
        <w:t>者，计</w:t>
      </w:r>
      <w:r>
        <w:rPr>
          <w:rStyle w:val="15"/>
          <w:rFonts w:hint="eastAsia" w:ascii="宋体" w:hAnsi="宋体"/>
          <w:b w:val="0"/>
          <w:color w:val="auto"/>
          <w:sz w:val="24"/>
        </w:rPr>
        <w:t>2学分</w:t>
      </w:r>
      <w:r>
        <w:rPr>
          <w:rStyle w:val="15"/>
          <w:rFonts w:ascii="宋体" w:hAnsi="宋体"/>
          <w:b w:val="0"/>
          <w:color w:val="auto"/>
          <w:sz w:val="24"/>
        </w:rPr>
        <w:t>。</w:t>
      </w:r>
    </w:p>
    <w:p>
      <w:pPr>
        <w:pStyle w:val="7"/>
        <w:spacing w:after="0" w:line="240" w:lineRule="auto"/>
        <w:ind w:left="0" w:leftChars="0" w:firstLine="480" w:firstLineChars="200"/>
        <w:rPr>
          <w:rStyle w:val="15"/>
          <w:rFonts w:ascii="宋体" w:hAnsi="宋体"/>
          <w:b w:val="0"/>
          <w:color w:val="auto"/>
          <w:sz w:val="24"/>
        </w:rPr>
      </w:pPr>
      <w:r>
        <w:rPr>
          <w:rStyle w:val="15"/>
          <w:rFonts w:hint="eastAsia" w:ascii="宋体" w:hAnsi="宋体"/>
          <w:b w:val="0"/>
          <w:color w:val="auto"/>
          <w:sz w:val="24"/>
        </w:rPr>
        <w:t>（六）军事技能：共2周，2学分。</w:t>
      </w:r>
    </w:p>
    <w:p>
      <w:pPr>
        <w:pStyle w:val="11"/>
        <w:spacing w:before="0" w:beforeAutospacing="0" w:after="0" w:afterAutospacing="0"/>
        <w:rPr>
          <w:rStyle w:val="15"/>
          <w:color w:val="auto"/>
        </w:rPr>
      </w:pPr>
      <w:r>
        <w:rPr>
          <w:rStyle w:val="15"/>
          <w:rFonts w:hint="eastAsia"/>
          <w:color w:val="auto"/>
        </w:rPr>
        <w:t>六</w:t>
      </w:r>
      <w:r>
        <w:rPr>
          <w:rStyle w:val="15"/>
          <w:color w:val="auto"/>
        </w:rPr>
        <w:t>、</w:t>
      </w:r>
      <w:r>
        <w:rPr>
          <w:rStyle w:val="15"/>
          <w:rFonts w:hint="eastAsia"/>
          <w:color w:val="auto"/>
        </w:rPr>
        <w:t xml:space="preserve">学制及修业年限   </w:t>
      </w:r>
    </w:p>
    <w:p>
      <w:pPr>
        <w:pStyle w:val="11"/>
        <w:spacing w:before="0" w:beforeAutospacing="0" w:after="0" w:afterAutospacing="0"/>
        <w:ind w:firstLine="480" w:firstLineChars="200"/>
        <w:rPr>
          <w:rStyle w:val="15"/>
          <w:b w:val="0"/>
          <w:color w:val="auto"/>
        </w:rPr>
      </w:pPr>
      <w:r>
        <w:rPr>
          <w:rStyle w:val="15"/>
          <w:rFonts w:hint="eastAsia"/>
          <w:b w:val="0"/>
          <w:color w:val="auto"/>
        </w:rPr>
        <w:t>（一）基本学制：4年，国内3年，美国1年</w:t>
      </w:r>
    </w:p>
    <w:p>
      <w:pPr>
        <w:pStyle w:val="11"/>
        <w:spacing w:before="0" w:beforeAutospacing="0" w:after="0" w:afterAutospacing="0"/>
        <w:ind w:firstLine="480" w:firstLineChars="200"/>
        <w:rPr>
          <w:rStyle w:val="15"/>
          <w:b w:val="0"/>
          <w:color w:val="auto"/>
        </w:rPr>
      </w:pPr>
      <w:r>
        <w:rPr>
          <w:rStyle w:val="15"/>
          <w:rFonts w:hint="eastAsia"/>
          <w:b w:val="0"/>
          <w:color w:val="auto"/>
        </w:rPr>
        <w:t>（二）修业年限：4～7年</w:t>
      </w:r>
    </w:p>
    <w:p>
      <w:pPr>
        <w:pStyle w:val="11"/>
        <w:spacing w:before="0" w:beforeAutospacing="0" w:after="0" w:afterAutospacing="0"/>
        <w:ind w:firstLine="480" w:firstLineChars="200"/>
        <w:rPr>
          <w:rStyle w:val="15"/>
          <w:rFonts w:hint="eastAsia"/>
          <w:b w:val="0"/>
          <w:color w:val="auto"/>
        </w:rPr>
      </w:pPr>
      <w:r>
        <w:rPr>
          <w:rStyle w:val="15"/>
          <w:rFonts w:hint="eastAsia"/>
          <w:b w:val="0"/>
          <w:color w:val="auto"/>
        </w:rPr>
        <w:t>（三）各学年时间分配（表1）</w:t>
      </w:r>
    </w:p>
    <w:p>
      <w:pPr>
        <w:pStyle w:val="11"/>
        <w:spacing w:before="0" w:beforeAutospacing="0" w:after="0" w:afterAutospacing="0"/>
        <w:ind w:firstLine="480" w:firstLineChars="200"/>
        <w:jc w:val="center"/>
        <w:rPr>
          <w:rStyle w:val="15"/>
          <w:rFonts w:hint="eastAsia" w:ascii="宋体" w:hAnsi="宋体" w:eastAsia="宋体" w:cs="Times New Roman"/>
          <w:b w:val="0"/>
          <w:color w:val="auto"/>
          <w:kern w:val="2"/>
          <w:sz w:val="24"/>
          <w:szCs w:val="24"/>
          <w:lang w:val="en-US" w:eastAsia="zh-CN" w:bidi="ar-SA"/>
        </w:rPr>
      </w:pPr>
      <w:r>
        <w:rPr>
          <w:rStyle w:val="15"/>
          <w:rFonts w:hint="eastAsia" w:ascii="宋体" w:hAnsi="宋体" w:eastAsia="宋体" w:cs="Times New Roman"/>
          <w:b w:val="0"/>
          <w:color w:val="auto"/>
          <w:kern w:val="2"/>
          <w:sz w:val="24"/>
          <w:szCs w:val="24"/>
          <w:lang w:val="en-US" w:eastAsia="zh-CN" w:bidi="ar-SA"/>
        </w:rPr>
        <w:t>四年制公共事业管理专业（社会医疗保障方向）中外合作办学项目人才培养方案（出国版）</w:t>
      </w:r>
    </w:p>
    <w:tbl>
      <w:tblPr>
        <w:tblStyle w:val="12"/>
        <w:tblW w:w="8789"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5"/>
        <w:gridCol w:w="853"/>
        <w:gridCol w:w="1365"/>
        <w:gridCol w:w="1470"/>
        <w:gridCol w:w="848"/>
        <w:gridCol w:w="1134"/>
        <w:gridCol w:w="1134"/>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bottom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学年</w:t>
            </w:r>
          </w:p>
        </w:tc>
        <w:tc>
          <w:tcPr>
            <w:tcW w:w="853" w:type="dxa"/>
            <w:tcBorders>
              <w:top w:val="single" w:color="000000" w:sz="4" w:space="0"/>
              <w:bottom w:val="single" w:color="000000" w:sz="4" w:space="0"/>
            </w:tcBorders>
          </w:tcPr>
          <w:p>
            <w:pPr>
              <w:pStyle w:val="11"/>
              <w:spacing w:before="0" w:beforeAutospacing="0" w:after="0" w:afterAutospacing="0"/>
              <w:ind w:firstLine="117" w:firstLineChars="49"/>
              <w:jc w:val="center"/>
              <w:rPr>
                <w:rStyle w:val="15"/>
                <w:b w:val="0"/>
                <w:color w:val="auto"/>
              </w:rPr>
            </w:pPr>
            <w:r>
              <w:rPr>
                <w:rStyle w:val="15"/>
                <w:rFonts w:hint="eastAsia"/>
                <w:b w:val="0"/>
                <w:color w:val="auto"/>
              </w:rPr>
              <w:t>教学</w:t>
            </w:r>
          </w:p>
        </w:tc>
        <w:tc>
          <w:tcPr>
            <w:tcW w:w="1365" w:type="dxa"/>
            <w:tcBorders>
              <w:top w:val="single" w:color="000000" w:sz="4" w:space="0"/>
              <w:bottom w:val="single" w:color="000000" w:sz="4" w:space="0"/>
            </w:tcBorders>
          </w:tcPr>
          <w:p>
            <w:pPr>
              <w:pStyle w:val="11"/>
              <w:spacing w:before="0" w:beforeAutospacing="0" w:after="0" w:afterAutospacing="0"/>
              <w:ind w:firstLine="235" w:firstLineChars="98"/>
              <w:jc w:val="center"/>
              <w:rPr>
                <w:rStyle w:val="15"/>
                <w:b w:val="0"/>
                <w:color w:val="auto"/>
              </w:rPr>
            </w:pPr>
            <w:r>
              <w:rPr>
                <w:rStyle w:val="15"/>
                <w:rFonts w:hint="eastAsia"/>
                <w:b w:val="0"/>
                <w:color w:val="auto"/>
              </w:rPr>
              <w:t>考试</w:t>
            </w:r>
          </w:p>
        </w:tc>
        <w:tc>
          <w:tcPr>
            <w:tcW w:w="1470" w:type="dxa"/>
            <w:tcBorders>
              <w:top w:val="single" w:color="000000" w:sz="4" w:space="0"/>
              <w:bottom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毕业实习</w:t>
            </w:r>
          </w:p>
        </w:tc>
        <w:tc>
          <w:tcPr>
            <w:tcW w:w="848" w:type="dxa"/>
            <w:tcBorders>
              <w:top w:val="single" w:color="000000" w:sz="4" w:space="0"/>
              <w:bottom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机动</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假期</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合计</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tcBorders>
          </w:tcPr>
          <w:p>
            <w:pPr>
              <w:pStyle w:val="11"/>
              <w:spacing w:before="0" w:beforeAutospacing="0" w:after="0" w:afterAutospacing="0"/>
              <w:jc w:val="center"/>
              <w:rPr>
                <w:rStyle w:val="15"/>
                <w:b w:val="0"/>
                <w:color w:val="auto"/>
              </w:rPr>
            </w:pPr>
            <w:r>
              <w:rPr>
                <w:rStyle w:val="15"/>
                <w:rFonts w:hint="eastAsia"/>
                <w:b w:val="0"/>
                <w:color w:val="auto"/>
              </w:rPr>
              <w:t>一</w:t>
            </w:r>
          </w:p>
        </w:tc>
        <w:tc>
          <w:tcPr>
            <w:tcW w:w="853" w:type="dxa"/>
            <w:tcBorders>
              <w:top w:val="single" w:color="000000" w:sz="4" w:space="0"/>
            </w:tcBorders>
          </w:tcPr>
          <w:p>
            <w:pPr>
              <w:jc w:val="center"/>
              <w:rPr>
                <w:rFonts w:ascii="宋体" w:hAnsi="宋体"/>
                <w:color w:val="auto"/>
                <w:sz w:val="24"/>
              </w:rPr>
            </w:pPr>
            <w:r>
              <w:rPr>
                <w:rFonts w:hint="eastAsia" w:ascii="宋体" w:hAnsi="宋体"/>
                <w:color w:val="auto"/>
                <w:sz w:val="24"/>
              </w:rPr>
              <w:t>31</w:t>
            </w:r>
          </w:p>
        </w:tc>
        <w:tc>
          <w:tcPr>
            <w:tcW w:w="1365" w:type="dxa"/>
            <w:tcBorders>
              <w:top w:val="single" w:color="000000" w:sz="4" w:space="0"/>
            </w:tcBorders>
          </w:tcPr>
          <w:p>
            <w:pPr>
              <w:jc w:val="center"/>
              <w:rPr>
                <w:rFonts w:ascii="宋体" w:hAnsi="宋体"/>
                <w:color w:val="auto"/>
                <w:sz w:val="24"/>
              </w:rPr>
            </w:pPr>
            <w:r>
              <w:rPr>
                <w:rFonts w:hint="eastAsia" w:ascii="宋体" w:hAnsi="宋体"/>
                <w:color w:val="auto"/>
                <w:sz w:val="24"/>
              </w:rPr>
              <w:t>4</w:t>
            </w:r>
          </w:p>
        </w:tc>
        <w:tc>
          <w:tcPr>
            <w:tcW w:w="1470" w:type="dxa"/>
            <w:tcBorders>
              <w:top w:val="single" w:color="000000" w:sz="4" w:space="0"/>
            </w:tcBorders>
          </w:tcPr>
          <w:p>
            <w:pPr>
              <w:jc w:val="center"/>
              <w:rPr>
                <w:rFonts w:ascii="宋体" w:hAnsi="宋体"/>
                <w:color w:val="auto"/>
                <w:sz w:val="24"/>
              </w:rPr>
            </w:pPr>
            <w:r>
              <w:rPr>
                <w:rFonts w:hint="eastAsia" w:ascii="宋体" w:hAnsi="宋体"/>
                <w:color w:val="auto"/>
                <w:sz w:val="24"/>
              </w:rPr>
              <w:t>-</w:t>
            </w:r>
          </w:p>
        </w:tc>
        <w:tc>
          <w:tcPr>
            <w:tcW w:w="848" w:type="dxa"/>
            <w:tcBorders>
              <w:top w:val="single" w:color="000000" w:sz="4" w:space="0"/>
            </w:tcBorders>
          </w:tcPr>
          <w:p>
            <w:pPr>
              <w:jc w:val="center"/>
              <w:rPr>
                <w:rFonts w:ascii="宋体" w:hAnsi="宋体"/>
                <w:color w:val="auto"/>
                <w:sz w:val="24"/>
              </w:rPr>
            </w:pPr>
            <w:r>
              <w:rPr>
                <w:rFonts w:hint="eastAsia" w:ascii="宋体" w:hAnsi="宋体"/>
                <w:color w:val="auto"/>
                <w:sz w:val="24"/>
              </w:rPr>
              <w:t>3</w:t>
            </w:r>
          </w:p>
        </w:tc>
        <w:tc>
          <w:tcPr>
            <w:tcW w:w="1134" w:type="dxa"/>
            <w:tcBorders>
              <w:top w:val="single" w:color="000000" w:sz="4" w:space="0"/>
            </w:tcBorders>
          </w:tcPr>
          <w:p>
            <w:pPr>
              <w:jc w:val="center"/>
              <w:rPr>
                <w:rFonts w:ascii="宋体" w:hAnsi="宋体"/>
                <w:color w:val="auto"/>
                <w:sz w:val="24"/>
              </w:rPr>
            </w:pPr>
            <w:r>
              <w:rPr>
                <w:rFonts w:hint="eastAsia" w:ascii="宋体" w:hAnsi="宋体"/>
                <w:color w:val="auto"/>
                <w:sz w:val="24"/>
              </w:rPr>
              <w:t>14</w:t>
            </w:r>
          </w:p>
        </w:tc>
        <w:tc>
          <w:tcPr>
            <w:tcW w:w="1134" w:type="dxa"/>
            <w:tcBorders>
              <w:top w:val="single" w:color="000000" w:sz="4" w:space="0"/>
            </w:tcBorders>
          </w:tcPr>
          <w:p>
            <w:pPr>
              <w:jc w:val="center"/>
              <w:rPr>
                <w:rFonts w:ascii="宋体" w:hAnsi="宋体"/>
                <w:color w:val="auto"/>
                <w:sz w:val="24"/>
              </w:rPr>
            </w:pPr>
            <w:r>
              <w:rPr>
                <w:rFonts w:hint="eastAsia" w:ascii="宋体" w:hAnsi="宋体"/>
                <w:color w:val="auto"/>
                <w:sz w:val="24"/>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auto"/>
              </w:rPr>
            </w:pPr>
            <w:r>
              <w:rPr>
                <w:rStyle w:val="15"/>
                <w:rFonts w:hint="eastAsia"/>
                <w:b w:val="0"/>
                <w:color w:val="auto"/>
              </w:rPr>
              <w:t>二</w:t>
            </w:r>
          </w:p>
        </w:tc>
        <w:tc>
          <w:tcPr>
            <w:tcW w:w="853" w:type="dxa"/>
          </w:tcPr>
          <w:p>
            <w:pPr>
              <w:jc w:val="center"/>
              <w:rPr>
                <w:rFonts w:ascii="宋体" w:hAnsi="宋体"/>
                <w:color w:val="auto"/>
                <w:sz w:val="24"/>
              </w:rPr>
            </w:pPr>
            <w:r>
              <w:rPr>
                <w:rFonts w:hint="eastAsia" w:ascii="宋体" w:hAnsi="宋体"/>
                <w:color w:val="auto"/>
                <w:sz w:val="24"/>
              </w:rPr>
              <w:t>32</w:t>
            </w:r>
          </w:p>
        </w:tc>
        <w:tc>
          <w:tcPr>
            <w:tcW w:w="1365" w:type="dxa"/>
          </w:tcPr>
          <w:p>
            <w:pPr>
              <w:jc w:val="center"/>
              <w:rPr>
                <w:rFonts w:ascii="宋体" w:hAnsi="宋体"/>
                <w:color w:val="auto"/>
                <w:sz w:val="24"/>
              </w:rPr>
            </w:pPr>
            <w:r>
              <w:rPr>
                <w:rFonts w:hint="eastAsia" w:ascii="宋体" w:hAnsi="宋体"/>
                <w:color w:val="auto"/>
                <w:sz w:val="24"/>
              </w:rPr>
              <w:t>4</w:t>
            </w:r>
          </w:p>
        </w:tc>
        <w:tc>
          <w:tcPr>
            <w:tcW w:w="1470" w:type="dxa"/>
          </w:tcPr>
          <w:p>
            <w:pPr>
              <w:jc w:val="center"/>
              <w:rPr>
                <w:rFonts w:ascii="宋体" w:hAnsi="宋体"/>
                <w:color w:val="auto"/>
                <w:sz w:val="24"/>
              </w:rPr>
            </w:pPr>
            <w:r>
              <w:rPr>
                <w:rFonts w:hint="eastAsia" w:ascii="宋体" w:hAnsi="宋体"/>
                <w:color w:val="auto"/>
                <w:sz w:val="24"/>
              </w:rPr>
              <w:t>-</w:t>
            </w:r>
          </w:p>
        </w:tc>
        <w:tc>
          <w:tcPr>
            <w:tcW w:w="848" w:type="dxa"/>
          </w:tcPr>
          <w:p>
            <w:pPr>
              <w:jc w:val="center"/>
              <w:rPr>
                <w:rFonts w:ascii="宋体" w:hAnsi="宋体"/>
                <w:color w:val="auto"/>
                <w:sz w:val="24"/>
              </w:rPr>
            </w:pPr>
            <w:r>
              <w:rPr>
                <w:rFonts w:hint="eastAsia" w:ascii="宋体" w:hAnsi="宋体"/>
                <w:color w:val="auto"/>
                <w:sz w:val="24"/>
              </w:rPr>
              <w:t>2</w:t>
            </w:r>
          </w:p>
        </w:tc>
        <w:tc>
          <w:tcPr>
            <w:tcW w:w="1134" w:type="dxa"/>
          </w:tcPr>
          <w:p>
            <w:pPr>
              <w:jc w:val="center"/>
              <w:rPr>
                <w:rFonts w:ascii="宋体" w:hAnsi="宋体"/>
                <w:color w:val="auto"/>
                <w:sz w:val="24"/>
              </w:rPr>
            </w:pPr>
            <w:r>
              <w:rPr>
                <w:rFonts w:hint="eastAsia" w:ascii="宋体" w:hAnsi="宋体"/>
                <w:color w:val="auto"/>
                <w:sz w:val="24"/>
              </w:rPr>
              <w:t>14</w:t>
            </w:r>
          </w:p>
        </w:tc>
        <w:tc>
          <w:tcPr>
            <w:tcW w:w="1134" w:type="dxa"/>
          </w:tcPr>
          <w:p>
            <w:pPr>
              <w:jc w:val="center"/>
              <w:rPr>
                <w:rFonts w:ascii="宋体" w:hAnsi="宋体"/>
                <w:color w:val="auto"/>
                <w:sz w:val="24"/>
              </w:rPr>
            </w:pPr>
            <w:r>
              <w:rPr>
                <w:rFonts w:hint="eastAsia" w:ascii="宋体" w:hAnsi="宋体"/>
                <w:color w:val="auto"/>
                <w:sz w:val="24"/>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auto"/>
              </w:rPr>
            </w:pPr>
            <w:r>
              <w:rPr>
                <w:rStyle w:val="15"/>
                <w:rFonts w:hint="eastAsia"/>
                <w:b w:val="0"/>
                <w:color w:val="auto"/>
              </w:rPr>
              <w:t>三</w:t>
            </w:r>
          </w:p>
        </w:tc>
        <w:tc>
          <w:tcPr>
            <w:tcW w:w="853" w:type="dxa"/>
          </w:tcPr>
          <w:p>
            <w:pPr>
              <w:jc w:val="center"/>
              <w:rPr>
                <w:rFonts w:ascii="宋体" w:hAnsi="宋体"/>
                <w:color w:val="auto"/>
                <w:sz w:val="24"/>
              </w:rPr>
            </w:pPr>
            <w:r>
              <w:rPr>
                <w:rFonts w:hint="eastAsia" w:ascii="宋体" w:hAnsi="宋体"/>
                <w:color w:val="auto"/>
                <w:sz w:val="24"/>
              </w:rPr>
              <w:t>32</w:t>
            </w:r>
          </w:p>
        </w:tc>
        <w:tc>
          <w:tcPr>
            <w:tcW w:w="1365" w:type="dxa"/>
          </w:tcPr>
          <w:p>
            <w:pPr>
              <w:jc w:val="center"/>
              <w:rPr>
                <w:rFonts w:ascii="宋体" w:hAnsi="宋体"/>
                <w:color w:val="auto"/>
                <w:sz w:val="24"/>
              </w:rPr>
            </w:pPr>
            <w:r>
              <w:rPr>
                <w:rFonts w:hint="eastAsia" w:ascii="宋体" w:hAnsi="宋体"/>
                <w:color w:val="auto"/>
                <w:sz w:val="24"/>
              </w:rPr>
              <w:t>4</w:t>
            </w:r>
          </w:p>
        </w:tc>
        <w:tc>
          <w:tcPr>
            <w:tcW w:w="1470" w:type="dxa"/>
          </w:tcPr>
          <w:p>
            <w:pPr>
              <w:jc w:val="center"/>
              <w:rPr>
                <w:rFonts w:ascii="宋体" w:hAnsi="宋体"/>
                <w:color w:val="auto"/>
                <w:sz w:val="24"/>
              </w:rPr>
            </w:pPr>
            <w:r>
              <w:rPr>
                <w:rFonts w:hint="eastAsia" w:ascii="宋体" w:hAnsi="宋体"/>
                <w:color w:val="auto"/>
                <w:sz w:val="24"/>
              </w:rPr>
              <w:t>-</w:t>
            </w:r>
          </w:p>
        </w:tc>
        <w:tc>
          <w:tcPr>
            <w:tcW w:w="848" w:type="dxa"/>
          </w:tcPr>
          <w:p>
            <w:pPr>
              <w:jc w:val="center"/>
              <w:rPr>
                <w:rFonts w:ascii="宋体" w:hAnsi="宋体"/>
                <w:color w:val="auto"/>
                <w:sz w:val="24"/>
              </w:rPr>
            </w:pPr>
            <w:r>
              <w:rPr>
                <w:rFonts w:hint="eastAsia" w:ascii="宋体" w:hAnsi="宋体"/>
                <w:color w:val="auto"/>
                <w:sz w:val="24"/>
              </w:rPr>
              <w:t>2</w:t>
            </w:r>
          </w:p>
        </w:tc>
        <w:tc>
          <w:tcPr>
            <w:tcW w:w="1134" w:type="dxa"/>
          </w:tcPr>
          <w:p>
            <w:pPr>
              <w:jc w:val="center"/>
              <w:rPr>
                <w:rFonts w:ascii="宋体" w:hAnsi="宋体"/>
                <w:color w:val="auto"/>
                <w:sz w:val="24"/>
              </w:rPr>
            </w:pPr>
            <w:r>
              <w:rPr>
                <w:rFonts w:hint="eastAsia" w:ascii="宋体" w:hAnsi="宋体"/>
                <w:color w:val="auto"/>
                <w:sz w:val="24"/>
              </w:rPr>
              <w:t>14</w:t>
            </w:r>
          </w:p>
        </w:tc>
        <w:tc>
          <w:tcPr>
            <w:tcW w:w="1134" w:type="dxa"/>
          </w:tcPr>
          <w:p>
            <w:pPr>
              <w:jc w:val="center"/>
              <w:rPr>
                <w:rFonts w:ascii="宋体" w:hAnsi="宋体"/>
                <w:color w:val="auto"/>
                <w:sz w:val="24"/>
              </w:rPr>
            </w:pPr>
            <w:r>
              <w:rPr>
                <w:rFonts w:hint="eastAsia" w:ascii="宋体" w:hAnsi="宋体"/>
                <w:color w:val="auto"/>
                <w:sz w:val="24"/>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auto"/>
              </w:rPr>
            </w:pPr>
            <w:r>
              <w:rPr>
                <w:rStyle w:val="15"/>
                <w:rFonts w:hint="eastAsia"/>
                <w:b w:val="0"/>
                <w:color w:val="auto"/>
              </w:rPr>
              <w:t>四</w:t>
            </w:r>
          </w:p>
        </w:tc>
        <w:tc>
          <w:tcPr>
            <w:tcW w:w="853" w:type="dxa"/>
          </w:tcPr>
          <w:p>
            <w:pPr>
              <w:jc w:val="center"/>
              <w:rPr>
                <w:rFonts w:ascii="宋体" w:hAnsi="宋体"/>
                <w:color w:val="auto"/>
                <w:sz w:val="24"/>
              </w:rPr>
            </w:pPr>
            <w:r>
              <w:rPr>
                <w:rFonts w:hint="eastAsia" w:ascii="宋体" w:hAnsi="宋体"/>
                <w:color w:val="auto"/>
                <w:sz w:val="24"/>
              </w:rPr>
              <w:t>-</w:t>
            </w:r>
          </w:p>
        </w:tc>
        <w:tc>
          <w:tcPr>
            <w:tcW w:w="1365" w:type="dxa"/>
          </w:tcPr>
          <w:p>
            <w:pPr>
              <w:jc w:val="center"/>
              <w:rPr>
                <w:rFonts w:ascii="宋体" w:hAnsi="宋体"/>
                <w:color w:val="auto"/>
                <w:sz w:val="24"/>
              </w:rPr>
            </w:pPr>
            <w:r>
              <w:rPr>
                <w:rFonts w:hint="eastAsia" w:ascii="宋体" w:hAnsi="宋体"/>
                <w:color w:val="auto"/>
                <w:sz w:val="24"/>
              </w:rPr>
              <w:t>-</w:t>
            </w:r>
          </w:p>
        </w:tc>
        <w:tc>
          <w:tcPr>
            <w:tcW w:w="1470" w:type="dxa"/>
          </w:tcPr>
          <w:p>
            <w:pPr>
              <w:jc w:val="center"/>
              <w:rPr>
                <w:rFonts w:ascii="宋体" w:hAnsi="宋体"/>
                <w:color w:val="auto"/>
                <w:sz w:val="24"/>
              </w:rPr>
            </w:pPr>
            <w:r>
              <w:rPr>
                <w:rFonts w:ascii="宋体" w:hAnsi="宋体"/>
                <w:color w:val="auto"/>
                <w:sz w:val="24"/>
              </w:rPr>
              <w:t>32</w:t>
            </w:r>
          </w:p>
        </w:tc>
        <w:tc>
          <w:tcPr>
            <w:tcW w:w="848" w:type="dxa"/>
          </w:tcPr>
          <w:p>
            <w:pPr>
              <w:jc w:val="center"/>
              <w:rPr>
                <w:rFonts w:ascii="宋体" w:hAnsi="宋体"/>
                <w:color w:val="auto"/>
                <w:sz w:val="24"/>
              </w:rPr>
            </w:pPr>
            <w:r>
              <w:rPr>
                <w:rFonts w:hint="eastAsia" w:ascii="宋体" w:hAnsi="宋体"/>
                <w:color w:val="auto"/>
                <w:sz w:val="24"/>
              </w:rPr>
              <w:t>2</w:t>
            </w:r>
          </w:p>
        </w:tc>
        <w:tc>
          <w:tcPr>
            <w:tcW w:w="1134" w:type="dxa"/>
          </w:tcPr>
          <w:p>
            <w:pPr>
              <w:jc w:val="center"/>
              <w:rPr>
                <w:rFonts w:ascii="宋体" w:hAnsi="宋体"/>
                <w:color w:val="auto"/>
                <w:sz w:val="24"/>
              </w:rPr>
            </w:pPr>
            <w:r>
              <w:rPr>
                <w:rFonts w:hint="eastAsia" w:ascii="宋体" w:hAnsi="宋体"/>
                <w:color w:val="auto"/>
                <w:sz w:val="24"/>
              </w:rPr>
              <w:t>-</w:t>
            </w:r>
          </w:p>
        </w:tc>
        <w:tc>
          <w:tcPr>
            <w:tcW w:w="1134" w:type="dxa"/>
          </w:tcPr>
          <w:p>
            <w:pPr>
              <w:jc w:val="center"/>
              <w:rPr>
                <w:rFonts w:ascii="宋体" w:hAnsi="宋体"/>
                <w:color w:val="auto"/>
                <w:sz w:val="24"/>
              </w:rPr>
            </w:pPr>
            <w:r>
              <w:rPr>
                <w:rFonts w:ascii="宋体" w:hAnsi="宋体"/>
                <w:color w:val="auto"/>
                <w:sz w:val="24"/>
              </w:rPr>
              <w:t>34</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auto"/>
              </w:rPr>
            </w:pPr>
            <w:r>
              <w:rPr>
                <w:rStyle w:val="15"/>
                <w:rFonts w:hint="eastAsia"/>
                <w:b w:val="0"/>
                <w:color w:val="auto"/>
              </w:rPr>
              <w:t>合计（出国）</w:t>
            </w:r>
          </w:p>
        </w:tc>
        <w:tc>
          <w:tcPr>
            <w:tcW w:w="853" w:type="dxa"/>
          </w:tcPr>
          <w:p>
            <w:pPr>
              <w:jc w:val="center"/>
              <w:rPr>
                <w:rFonts w:ascii="宋体" w:hAnsi="宋体"/>
                <w:color w:val="auto"/>
                <w:sz w:val="24"/>
              </w:rPr>
            </w:pPr>
            <w:r>
              <w:rPr>
                <w:rFonts w:hint="eastAsia" w:ascii="宋体" w:hAnsi="宋体"/>
                <w:color w:val="auto"/>
                <w:sz w:val="24"/>
              </w:rPr>
              <w:t>9</w:t>
            </w:r>
            <w:r>
              <w:rPr>
                <w:rFonts w:ascii="宋体" w:hAnsi="宋体"/>
                <w:color w:val="auto"/>
                <w:sz w:val="24"/>
              </w:rPr>
              <w:t>5</w:t>
            </w:r>
          </w:p>
        </w:tc>
        <w:tc>
          <w:tcPr>
            <w:tcW w:w="1365" w:type="dxa"/>
          </w:tcPr>
          <w:p>
            <w:pPr>
              <w:jc w:val="center"/>
              <w:rPr>
                <w:rFonts w:ascii="宋体" w:hAnsi="宋体"/>
                <w:color w:val="auto"/>
                <w:sz w:val="24"/>
              </w:rPr>
            </w:pPr>
            <w:r>
              <w:rPr>
                <w:rFonts w:hint="eastAsia" w:ascii="宋体" w:hAnsi="宋体"/>
                <w:color w:val="auto"/>
                <w:sz w:val="24"/>
              </w:rPr>
              <w:t>1</w:t>
            </w:r>
            <w:r>
              <w:rPr>
                <w:rFonts w:ascii="宋体" w:hAnsi="宋体"/>
                <w:color w:val="auto"/>
                <w:sz w:val="24"/>
              </w:rPr>
              <w:t>2</w:t>
            </w:r>
          </w:p>
        </w:tc>
        <w:tc>
          <w:tcPr>
            <w:tcW w:w="1470" w:type="dxa"/>
          </w:tcPr>
          <w:p>
            <w:pPr>
              <w:jc w:val="center"/>
              <w:rPr>
                <w:rFonts w:ascii="宋体" w:hAnsi="宋体"/>
                <w:color w:val="auto"/>
                <w:sz w:val="24"/>
              </w:rPr>
            </w:pPr>
            <w:r>
              <w:rPr>
                <w:rFonts w:hint="eastAsia" w:ascii="宋体" w:hAnsi="宋体"/>
                <w:color w:val="auto"/>
                <w:sz w:val="24"/>
              </w:rPr>
              <w:t>-</w:t>
            </w:r>
          </w:p>
        </w:tc>
        <w:tc>
          <w:tcPr>
            <w:tcW w:w="848" w:type="dxa"/>
          </w:tcPr>
          <w:p>
            <w:pPr>
              <w:jc w:val="center"/>
              <w:rPr>
                <w:rFonts w:ascii="宋体" w:hAnsi="宋体"/>
                <w:color w:val="auto"/>
                <w:sz w:val="24"/>
              </w:rPr>
            </w:pPr>
            <w:r>
              <w:rPr>
                <w:rFonts w:hint="eastAsia" w:ascii="宋体" w:hAnsi="宋体"/>
                <w:color w:val="auto"/>
                <w:sz w:val="24"/>
              </w:rPr>
              <w:t>7</w:t>
            </w:r>
          </w:p>
        </w:tc>
        <w:tc>
          <w:tcPr>
            <w:tcW w:w="1134" w:type="dxa"/>
          </w:tcPr>
          <w:p>
            <w:pPr>
              <w:jc w:val="center"/>
              <w:rPr>
                <w:rFonts w:ascii="宋体" w:hAnsi="宋体"/>
                <w:color w:val="auto"/>
                <w:sz w:val="24"/>
              </w:rPr>
            </w:pPr>
            <w:r>
              <w:rPr>
                <w:rFonts w:hint="eastAsia" w:ascii="宋体" w:hAnsi="宋体"/>
                <w:color w:val="auto"/>
                <w:sz w:val="24"/>
              </w:rPr>
              <w:t>4</w:t>
            </w:r>
            <w:r>
              <w:rPr>
                <w:rFonts w:ascii="宋体" w:hAnsi="宋体"/>
                <w:color w:val="auto"/>
                <w:sz w:val="24"/>
              </w:rPr>
              <w:t>2</w:t>
            </w:r>
          </w:p>
        </w:tc>
        <w:tc>
          <w:tcPr>
            <w:tcW w:w="1134" w:type="dxa"/>
          </w:tcPr>
          <w:p>
            <w:pPr>
              <w:jc w:val="center"/>
              <w:rPr>
                <w:rFonts w:ascii="宋体" w:hAnsi="宋体"/>
                <w:color w:val="auto"/>
                <w:sz w:val="24"/>
              </w:rPr>
            </w:pPr>
            <w:r>
              <w:rPr>
                <w:rFonts w:hint="eastAsia" w:ascii="宋体" w:hAnsi="宋体"/>
                <w:color w:val="auto"/>
                <w:sz w:val="24"/>
              </w:rPr>
              <w:t>1</w:t>
            </w:r>
            <w:r>
              <w:rPr>
                <w:rFonts w:ascii="宋体" w:hAnsi="宋体"/>
                <w:color w:val="auto"/>
                <w:sz w:val="24"/>
              </w:rPr>
              <w:t>56</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auto"/>
              </w:rPr>
            </w:pPr>
            <w:r>
              <w:rPr>
                <w:rStyle w:val="15"/>
                <w:rFonts w:hint="eastAsia"/>
                <w:b w:val="0"/>
                <w:color w:val="auto"/>
              </w:rPr>
              <w:t>合计（不出国）</w:t>
            </w:r>
          </w:p>
        </w:tc>
        <w:tc>
          <w:tcPr>
            <w:tcW w:w="853" w:type="dxa"/>
          </w:tcPr>
          <w:p>
            <w:pPr>
              <w:jc w:val="center"/>
              <w:rPr>
                <w:rFonts w:ascii="宋体" w:hAnsi="宋体"/>
                <w:color w:val="auto"/>
                <w:sz w:val="24"/>
              </w:rPr>
            </w:pPr>
            <w:r>
              <w:rPr>
                <w:rFonts w:hint="eastAsia" w:ascii="宋体" w:hAnsi="宋体"/>
                <w:color w:val="auto"/>
                <w:sz w:val="24"/>
              </w:rPr>
              <w:t>95</w:t>
            </w:r>
          </w:p>
        </w:tc>
        <w:tc>
          <w:tcPr>
            <w:tcW w:w="1365" w:type="dxa"/>
          </w:tcPr>
          <w:p>
            <w:pPr>
              <w:jc w:val="center"/>
              <w:rPr>
                <w:rFonts w:ascii="宋体" w:hAnsi="宋体"/>
                <w:color w:val="auto"/>
                <w:sz w:val="24"/>
              </w:rPr>
            </w:pPr>
            <w:r>
              <w:rPr>
                <w:rFonts w:hint="eastAsia" w:ascii="宋体" w:hAnsi="宋体"/>
                <w:color w:val="auto"/>
                <w:sz w:val="24"/>
              </w:rPr>
              <w:t>12</w:t>
            </w:r>
          </w:p>
        </w:tc>
        <w:tc>
          <w:tcPr>
            <w:tcW w:w="1470" w:type="dxa"/>
          </w:tcPr>
          <w:p>
            <w:pPr>
              <w:jc w:val="center"/>
              <w:rPr>
                <w:rFonts w:ascii="宋体" w:hAnsi="宋体"/>
                <w:color w:val="auto"/>
                <w:sz w:val="24"/>
              </w:rPr>
            </w:pPr>
            <w:r>
              <w:rPr>
                <w:rFonts w:ascii="宋体" w:hAnsi="宋体"/>
                <w:color w:val="auto"/>
                <w:sz w:val="24"/>
              </w:rPr>
              <w:t>32</w:t>
            </w:r>
          </w:p>
        </w:tc>
        <w:tc>
          <w:tcPr>
            <w:tcW w:w="848" w:type="dxa"/>
          </w:tcPr>
          <w:p>
            <w:pPr>
              <w:jc w:val="center"/>
              <w:rPr>
                <w:rFonts w:ascii="宋体" w:hAnsi="宋体"/>
                <w:color w:val="auto"/>
                <w:sz w:val="24"/>
              </w:rPr>
            </w:pPr>
            <w:r>
              <w:rPr>
                <w:rFonts w:ascii="宋体" w:hAnsi="宋体"/>
                <w:color w:val="auto"/>
                <w:sz w:val="24"/>
              </w:rPr>
              <w:t>9</w:t>
            </w:r>
          </w:p>
        </w:tc>
        <w:tc>
          <w:tcPr>
            <w:tcW w:w="1134" w:type="dxa"/>
          </w:tcPr>
          <w:p>
            <w:pPr>
              <w:jc w:val="center"/>
              <w:rPr>
                <w:rFonts w:ascii="宋体" w:hAnsi="宋体"/>
                <w:color w:val="auto"/>
                <w:sz w:val="24"/>
              </w:rPr>
            </w:pPr>
            <w:r>
              <w:rPr>
                <w:rFonts w:hint="eastAsia" w:ascii="宋体" w:hAnsi="宋体"/>
                <w:color w:val="auto"/>
                <w:sz w:val="24"/>
              </w:rPr>
              <w:t>4</w:t>
            </w:r>
            <w:r>
              <w:rPr>
                <w:rFonts w:ascii="宋体" w:hAnsi="宋体"/>
                <w:color w:val="auto"/>
                <w:sz w:val="24"/>
              </w:rPr>
              <w:t>2</w:t>
            </w:r>
          </w:p>
        </w:tc>
        <w:tc>
          <w:tcPr>
            <w:tcW w:w="1134" w:type="dxa"/>
          </w:tcPr>
          <w:p>
            <w:pPr>
              <w:jc w:val="center"/>
              <w:rPr>
                <w:rFonts w:ascii="宋体" w:hAnsi="宋体"/>
                <w:color w:val="auto"/>
                <w:sz w:val="24"/>
              </w:rPr>
            </w:pPr>
            <w:r>
              <w:rPr>
                <w:rFonts w:ascii="宋体" w:hAnsi="宋体"/>
                <w:color w:val="auto"/>
                <w:sz w:val="24"/>
              </w:rPr>
              <w:t>190</w:t>
            </w:r>
          </w:p>
        </w:tc>
      </w:tr>
    </w:tbl>
    <w:p>
      <w:pPr>
        <w:pStyle w:val="11"/>
        <w:spacing w:before="0" w:beforeAutospacing="0" w:after="0" w:afterAutospacing="0"/>
        <w:rPr>
          <w:rStyle w:val="15"/>
          <w:color w:val="auto"/>
        </w:rPr>
      </w:pPr>
      <w:r>
        <w:rPr>
          <w:rFonts w:hint="eastAsia" w:cs="宋体"/>
          <w:color w:val="auto"/>
          <w:sz w:val="21"/>
          <w:szCs w:val="21"/>
        </w:rPr>
        <w:t>※社会实践</w:t>
      </w:r>
      <w:r>
        <w:rPr>
          <w:rFonts w:cs="宋体"/>
          <w:color w:val="auto"/>
          <w:sz w:val="21"/>
          <w:szCs w:val="21"/>
        </w:rPr>
        <w:t>2</w:t>
      </w:r>
      <w:r>
        <w:rPr>
          <w:rFonts w:hint="eastAsia" w:cs="宋体"/>
          <w:color w:val="auto"/>
          <w:sz w:val="21"/>
          <w:szCs w:val="21"/>
        </w:rPr>
        <w:t>周，由校团委作统一部署，机动含军训、社会实践、现场教学、毕业考试等其他环节。</w:t>
      </w:r>
    </w:p>
    <w:p>
      <w:pPr>
        <w:pStyle w:val="11"/>
        <w:spacing w:before="0" w:beforeAutospacing="0" w:after="0" w:afterAutospacing="0"/>
        <w:rPr>
          <w:rStyle w:val="15"/>
          <w:color w:val="auto"/>
        </w:rPr>
      </w:pPr>
    </w:p>
    <w:p>
      <w:pPr>
        <w:pStyle w:val="11"/>
        <w:spacing w:before="0" w:beforeAutospacing="0" w:after="0" w:afterAutospacing="0"/>
        <w:rPr>
          <w:rStyle w:val="15"/>
          <w:color w:val="auto"/>
        </w:rPr>
      </w:pPr>
      <w:r>
        <w:rPr>
          <w:rStyle w:val="15"/>
          <w:rFonts w:hint="eastAsia"/>
          <w:color w:val="auto"/>
        </w:rPr>
        <w:t>七、毕业与学位</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（一）本专业前三年在广西医科大学学习，第四年在西俄勒冈大学学习。</w:t>
      </w:r>
    </w:p>
    <w:p>
      <w:pPr>
        <w:autoSpaceDE w:val="0"/>
        <w:autoSpaceDN w:val="0"/>
        <w:adjustRightInd w:val="0"/>
        <w:ind w:firstLine="480" w:firstLineChars="200"/>
        <w:jc w:val="left"/>
        <w:rPr>
          <w:rFonts w:ascii="宋体" w:cs="宋体"/>
          <w:color w:val="auto"/>
          <w:kern w:val="0"/>
          <w:sz w:val="24"/>
        </w:rPr>
      </w:pPr>
      <w:r>
        <w:rPr>
          <w:rFonts w:hint="eastAsia" w:ascii="宋体" w:cs="宋体"/>
          <w:color w:val="auto"/>
          <w:kern w:val="0"/>
          <w:sz w:val="24"/>
        </w:rPr>
        <w:t>前三年完成国内课程学习，缴清前三学年学费，通过雅思（</w:t>
      </w:r>
      <w:r>
        <w:rPr>
          <w:rFonts w:ascii="宋体" w:cs="宋体"/>
          <w:color w:val="auto"/>
          <w:kern w:val="0"/>
          <w:sz w:val="24"/>
        </w:rPr>
        <w:t>IELTS</w:t>
      </w:r>
      <w:r>
        <w:rPr>
          <w:rFonts w:hint="eastAsia" w:ascii="宋体" w:cs="宋体"/>
          <w:color w:val="auto"/>
          <w:kern w:val="0"/>
          <w:sz w:val="24"/>
        </w:rPr>
        <w:t>）</w:t>
      </w:r>
      <w:r>
        <w:rPr>
          <w:rFonts w:ascii="宋体" w:cs="宋体"/>
          <w:color w:val="auto"/>
          <w:kern w:val="0"/>
          <w:sz w:val="24"/>
        </w:rPr>
        <w:t>5.0</w:t>
      </w:r>
      <w:r>
        <w:rPr>
          <w:rFonts w:hint="eastAsia" w:ascii="宋体" w:cs="宋体"/>
          <w:color w:val="auto"/>
          <w:kern w:val="0"/>
          <w:sz w:val="24"/>
        </w:rPr>
        <w:t>或托福（</w:t>
      </w:r>
      <w:r>
        <w:rPr>
          <w:rFonts w:ascii="宋体" w:cs="宋体"/>
          <w:color w:val="auto"/>
          <w:kern w:val="0"/>
          <w:sz w:val="24"/>
        </w:rPr>
        <w:t>TOEFL</w:t>
      </w:r>
      <w:r>
        <w:rPr>
          <w:rFonts w:hint="eastAsia" w:ascii="宋体" w:cs="宋体"/>
          <w:color w:val="auto"/>
          <w:kern w:val="0"/>
          <w:sz w:val="24"/>
        </w:rPr>
        <w:t>）</w:t>
      </w:r>
      <w:r>
        <w:rPr>
          <w:rFonts w:ascii="宋体" w:cs="宋体"/>
          <w:color w:val="auto"/>
          <w:kern w:val="0"/>
          <w:sz w:val="24"/>
        </w:rPr>
        <w:t>61</w:t>
      </w:r>
      <w:r>
        <w:rPr>
          <w:rFonts w:hint="eastAsia" w:ascii="宋体" w:cs="宋体"/>
          <w:color w:val="auto"/>
          <w:kern w:val="0"/>
          <w:sz w:val="24"/>
        </w:rPr>
        <w:t>分，可转入西俄勒冈大学继续学习专业核心课程（英语成绩不达标的学生可先到西俄勒冈大学强化英语，达标后继续专业课学习）。学生在美方学校学习并按要求完成所修课程，符合美方毕业标准，并同时在广西医科大学规定的修业年限内，德、智、体合格，修完教育教学计划规定的国内前三学年的全部课程，考核成绩合格，限选课程修满</w:t>
      </w:r>
      <w:r>
        <w:rPr>
          <w:rFonts w:ascii="宋体" w:cs="宋体"/>
          <w:color w:val="auto"/>
          <w:kern w:val="0"/>
          <w:sz w:val="24"/>
        </w:rPr>
        <w:t>16</w:t>
      </w:r>
      <w:r>
        <w:rPr>
          <w:rFonts w:hint="eastAsia" w:ascii="宋体" w:cs="宋体"/>
          <w:color w:val="auto"/>
          <w:kern w:val="0"/>
          <w:sz w:val="24"/>
        </w:rPr>
        <w:t>学分，任选课修满</w:t>
      </w:r>
      <w:r>
        <w:rPr>
          <w:rFonts w:ascii="宋体" w:cs="宋体"/>
          <w:color w:val="auto"/>
          <w:kern w:val="0"/>
          <w:sz w:val="24"/>
        </w:rPr>
        <w:t>12</w:t>
      </w:r>
      <w:r>
        <w:rPr>
          <w:rFonts w:hint="eastAsia" w:ascii="宋体" w:cs="宋体"/>
          <w:color w:val="auto"/>
          <w:kern w:val="0"/>
          <w:sz w:val="24"/>
        </w:rPr>
        <w:t>学分，国内课程总学分达</w:t>
      </w:r>
      <w:r>
        <w:rPr>
          <w:rFonts w:ascii="宋体" w:cs="宋体"/>
          <w:color w:val="auto"/>
          <w:kern w:val="0"/>
          <w:sz w:val="24"/>
        </w:rPr>
        <w:t>130</w:t>
      </w:r>
      <w:r>
        <w:rPr>
          <w:rFonts w:hint="eastAsia" w:ascii="宋体" w:cs="宋体"/>
          <w:color w:val="auto"/>
          <w:kern w:val="0"/>
          <w:sz w:val="24"/>
        </w:rPr>
        <w:t>学分及以上，可同时获得美国西俄勒冈大学颁发的学士学位证书，以及由广西医科大学颁发的全日制本科毕业证书，符合《广西医科大学学士学位授予工作细则》规定条件者授予管理学学位。</w:t>
      </w:r>
    </w:p>
    <w:p>
      <w:pPr>
        <w:autoSpaceDE w:val="0"/>
        <w:autoSpaceDN w:val="0"/>
        <w:adjustRightInd w:val="0"/>
        <w:ind w:firstLine="480" w:firstLineChars="200"/>
        <w:rPr>
          <w:rFonts w:ascii="宋体" w:cs="宋体"/>
          <w:color w:val="auto"/>
          <w:kern w:val="0"/>
          <w:sz w:val="24"/>
        </w:rPr>
      </w:pPr>
      <w:r>
        <w:rPr>
          <w:rFonts w:hint="eastAsia" w:ascii="宋体" w:cs="宋体"/>
          <w:color w:val="auto"/>
          <w:kern w:val="0"/>
          <w:sz w:val="24"/>
        </w:rPr>
        <w:t>（二）在学校规定的修业年限内，完成“</w:t>
      </w:r>
      <w:r>
        <w:rPr>
          <w:rFonts w:ascii="宋体" w:cs="宋体"/>
          <w:color w:val="auto"/>
          <w:kern w:val="0"/>
          <w:sz w:val="24"/>
        </w:rPr>
        <w:t>3+</w:t>
      </w:r>
      <w:r>
        <w:rPr>
          <w:rFonts w:hint="eastAsia" w:ascii="宋体" w:cs="宋体"/>
          <w:color w:val="auto"/>
          <w:kern w:val="0"/>
          <w:sz w:val="24"/>
        </w:rPr>
        <w:t>创新创业”项目的合格者。即入校后完成</w:t>
      </w:r>
      <w:r>
        <w:rPr>
          <w:rFonts w:ascii="宋体" w:cs="宋体"/>
          <w:color w:val="auto"/>
          <w:kern w:val="0"/>
          <w:sz w:val="24"/>
        </w:rPr>
        <w:t>3</w:t>
      </w:r>
      <w:r>
        <w:rPr>
          <w:rFonts w:hint="eastAsia" w:ascii="宋体" w:cs="宋体"/>
          <w:color w:val="auto"/>
          <w:kern w:val="0"/>
          <w:sz w:val="24"/>
        </w:rPr>
        <w:t>年课程的学习、成绩合格；随后进行与专业相关的创新创业且其成绩特别突出的、经二级学院教学委员会认定，上报学校教学委员会复核批准，准予毕业并授予学士学位。</w:t>
      </w:r>
    </w:p>
    <w:p>
      <w:pPr>
        <w:pStyle w:val="11"/>
        <w:spacing w:before="0" w:beforeAutospacing="0" w:after="0" w:afterAutospacing="0"/>
        <w:rPr>
          <w:b/>
          <w:bCs/>
          <w:color w:val="auto"/>
        </w:rPr>
      </w:pPr>
      <w:r>
        <w:rPr>
          <w:rFonts w:hint="eastAsia"/>
          <w:b/>
          <w:color w:val="auto"/>
        </w:rPr>
        <w:t>八、毕业去向</w:t>
      </w:r>
      <w:r>
        <w:rPr>
          <w:b/>
          <w:color w:val="auto"/>
        </w:rPr>
        <w:tab/>
      </w:r>
    </w:p>
    <w:p>
      <w:pPr>
        <w:pStyle w:val="11"/>
        <w:spacing w:before="0" w:beforeAutospacing="0" w:after="0" w:afterAutospacing="0"/>
        <w:ind w:firstLine="480" w:firstLineChars="200"/>
        <w:rPr>
          <w:color w:val="auto"/>
        </w:rPr>
      </w:pPr>
      <w:r>
        <w:rPr>
          <w:rStyle w:val="15"/>
          <w:rFonts w:hint="eastAsia" w:ascii="宋体" w:hAnsi="宋体" w:eastAsia="宋体" w:cs="Times New Roman"/>
          <w:b w:val="0"/>
          <w:color w:val="auto"/>
          <w:kern w:val="2"/>
          <w:sz w:val="24"/>
          <w:szCs w:val="24"/>
          <w:lang w:val="en-US" w:eastAsia="zh-CN" w:bidi="ar-SA"/>
        </w:rPr>
        <w:t>广西医科大学与美国西俄勒冈大学合作举办公共事业管理专业本科教育项目</w:t>
      </w:r>
      <w:r>
        <w:rPr>
          <w:rFonts w:hint="eastAsia"/>
          <w:color w:val="auto"/>
        </w:rPr>
        <w:t>的建立是为了应对全民医保的挑战、适应我国医疗保障制度改革的要求，本专业的毕业生具备医学、经济学、管理学知识，具有比较扎实的社会医疗保障和健康保险学相关专业知识与技能，属于应用型、复合型专门人才。毕业后可在中国或美国的以社会医疗保险部门为主的各级各类社会保障管理与经办部门、商业性保险机构、医疗卫生机构、高等院校、科研机构、跨国公司、大中型企业人力资源管理部门从事与医疗保险领域相关的管理、研究及经营工作。</w:t>
      </w:r>
    </w:p>
    <w:p>
      <w:pPr>
        <w:pStyle w:val="11"/>
        <w:spacing w:before="0" w:beforeAutospacing="0" w:after="0" w:afterAutospacing="0"/>
        <w:rPr>
          <w:rFonts w:hint="eastAsia"/>
          <w:b/>
          <w:color w:val="auto"/>
        </w:rPr>
      </w:pPr>
      <w:r>
        <w:rPr>
          <w:rFonts w:hint="eastAsia"/>
          <w:b/>
          <w:color w:val="auto"/>
        </w:rPr>
        <w:t>九、教学进程</w:t>
      </w:r>
    </w:p>
    <w:p>
      <w:pPr>
        <w:pStyle w:val="105"/>
        <w:keepNext w:val="0"/>
        <w:keepLines w:val="0"/>
        <w:pageBreakBefore w:val="0"/>
        <w:kinsoku/>
        <w:wordWrap/>
        <w:overflowPunct/>
        <w:topLinePunct w:val="0"/>
        <w:autoSpaceDE/>
        <w:autoSpaceDN/>
        <w:bidi w:val="0"/>
        <w:adjustRightInd/>
        <w:snapToGrid/>
        <w:spacing w:line="360" w:lineRule="exact"/>
        <w:ind w:firstLine="432"/>
        <w:textAlignment w:val="auto"/>
        <w:rPr>
          <w:rFonts w:hint="eastAsia" w:eastAsia="宋体" w:cs="宋体"/>
          <w:color w:val="auto"/>
          <w:lang w:val="en-US" w:eastAsia="zh-CN"/>
        </w:rPr>
      </w:pPr>
      <w:r>
        <w:rPr>
          <w:rFonts w:hint="eastAsia" w:ascii="Times New Roman" w:hAnsi="Times New Roman" w:eastAsia="宋体" w:cs="Times New Roman"/>
          <w:b w:val="0"/>
          <w:color w:val="auto"/>
          <w:kern w:val="2"/>
          <w:sz w:val="24"/>
          <w:szCs w:val="24"/>
          <w:lang w:val="en-US" w:eastAsia="zh-CN" w:bidi="ar-SA"/>
        </w:rPr>
        <w:t>见进程表Excel版</w:t>
      </w:r>
    </w:p>
    <w:p>
      <w:pPr>
        <w:pStyle w:val="11"/>
        <w:spacing w:before="0" w:beforeAutospacing="0" w:after="0" w:afterAutospacing="0"/>
        <w:rPr>
          <w:rFonts w:hint="default"/>
          <w:b/>
          <w:color w:val="auto"/>
          <w:lang w:val="en-US" w:eastAsia="zh-CN"/>
        </w:rPr>
      </w:pPr>
      <w:r>
        <w:rPr>
          <w:rFonts w:hint="eastAsia"/>
          <w:b/>
          <w:color w:val="auto"/>
          <w:lang w:val="en-US" w:eastAsia="zh-CN"/>
        </w:rPr>
        <w:t>十、课程体系对培养要求指标点支撑矩阵图</w:t>
      </w:r>
    </w:p>
    <w:tbl>
      <w:tblPr>
        <w:tblStyle w:val="12"/>
        <w:tblW w:w="91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696"/>
        <w:gridCol w:w="411"/>
        <w:gridCol w:w="1560"/>
        <w:gridCol w:w="567"/>
        <w:gridCol w:w="620"/>
        <w:gridCol w:w="525"/>
        <w:gridCol w:w="611"/>
        <w:gridCol w:w="602"/>
        <w:gridCol w:w="620"/>
        <w:gridCol w:w="559"/>
        <w:gridCol w:w="576"/>
        <w:gridCol w:w="576"/>
        <w:gridCol w:w="5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19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四年制公共事业管理专业（社会医疗保障方向）中外合作办学项目人才培养方案（出国版）课程体系对培养要求指标点支撑矩阵图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13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类别</w:t>
            </w: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序号</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课程名称</w:t>
            </w:r>
          </w:p>
        </w:tc>
        <w:tc>
          <w:tcPr>
            <w:tcW w:w="232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思想道德与职业素质要求</w:t>
            </w:r>
          </w:p>
        </w:tc>
        <w:tc>
          <w:tcPr>
            <w:tcW w:w="350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知识和技能要求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13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32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350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13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32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350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232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350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2.3</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基础阶段课程</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思德修养·人文素质·行为科学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军事理论</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英语（一）</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体育</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大学生心理健康教育</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大学生安全教育</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劳动教育</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7</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创业基础</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大学生职业发展与就业指导</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9</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形势与政策</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思想道德与法治</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中国近现代史纲要</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毛泽东思想和中国特色社会主义理论体系概论</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习近平新时代中国特色社会主义思想概论</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马克思主义基本原理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批判性思维与道德推理（限选）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社会学概论（限选）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自然科学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17</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计算机应用基础（限选）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高等数学（限选）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生物医学</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19</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基础医学概论（限选）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临床医学概论（限选）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法医临床学（限选）</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专业基础</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政治学原理</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基础微观经济学</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社会统计学（含统计软件应用）</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社会保障研究方法</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公共经济学</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27</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社会保障概论</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公共事业管理概论</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restart"/>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专业核心</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29</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基础心理学★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管理学基础★</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管理学专业外语★</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2"/>
                <w:szCs w:val="22"/>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商业道德★</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商业与社会★</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公共关系学★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组织行为学★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公共政策★</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37</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基础宏观经济学★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英语（二）议论文写作★</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2"/>
                <w:szCs w:val="22"/>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39</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英语（三）公共演讲★</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社会组织管理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保险学概论</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社区及公共卫生★</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金融会计学★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病案信息学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保险实务（核保与理赔）</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医疗保险学</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47</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养老院的医疗管理★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人力资源管理★</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49</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英语（四）学术写作★</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69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法学概论</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说明：</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auto"/>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195"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课程名称后加★号的为美方教师前来中国授课，课程名称根据美方要求和实际情况可能有所调整。</w:t>
            </w:r>
          </w:p>
        </w:tc>
      </w:tr>
    </w:tbl>
    <w:p>
      <w:pPr>
        <w:pStyle w:val="11"/>
        <w:spacing w:before="0" w:beforeAutospacing="0" w:after="0" w:afterAutospacing="0"/>
        <w:rPr>
          <w:rFonts w:hint="eastAsia"/>
          <w:b/>
          <w:color w:val="auto"/>
        </w:rPr>
      </w:pPr>
    </w:p>
    <w:sectPr>
      <w:pgSz w:w="11906" w:h="16838"/>
      <w:pgMar w:top="1418" w:right="1440" w:bottom="1418"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iNzE0ZDQwNDUyMmVjZDBmYWJmOTZiMGIzNThkZDEifQ=="/>
  </w:docVars>
  <w:rsids>
    <w:rsidRoot w:val="00137479"/>
    <w:rsid w:val="000009B8"/>
    <w:rsid w:val="00003534"/>
    <w:rsid w:val="00007C04"/>
    <w:rsid w:val="000103BA"/>
    <w:rsid w:val="00021549"/>
    <w:rsid w:val="000235BB"/>
    <w:rsid w:val="000279C8"/>
    <w:rsid w:val="000304DD"/>
    <w:rsid w:val="00035846"/>
    <w:rsid w:val="00035F26"/>
    <w:rsid w:val="000378F6"/>
    <w:rsid w:val="00037AF7"/>
    <w:rsid w:val="00043096"/>
    <w:rsid w:val="00045E29"/>
    <w:rsid w:val="00053F0B"/>
    <w:rsid w:val="00053FDA"/>
    <w:rsid w:val="0005625F"/>
    <w:rsid w:val="00061640"/>
    <w:rsid w:val="00063F54"/>
    <w:rsid w:val="00065CBA"/>
    <w:rsid w:val="000665A9"/>
    <w:rsid w:val="00070595"/>
    <w:rsid w:val="0007061F"/>
    <w:rsid w:val="000712A7"/>
    <w:rsid w:val="000724A5"/>
    <w:rsid w:val="00073402"/>
    <w:rsid w:val="00073CB5"/>
    <w:rsid w:val="00077CD5"/>
    <w:rsid w:val="00081C7D"/>
    <w:rsid w:val="0008772D"/>
    <w:rsid w:val="000916A5"/>
    <w:rsid w:val="0009472C"/>
    <w:rsid w:val="000A10E0"/>
    <w:rsid w:val="000A1997"/>
    <w:rsid w:val="000A1D33"/>
    <w:rsid w:val="000A3EB6"/>
    <w:rsid w:val="000A7216"/>
    <w:rsid w:val="000B0E42"/>
    <w:rsid w:val="000B14A8"/>
    <w:rsid w:val="000C0EE0"/>
    <w:rsid w:val="000C0FA8"/>
    <w:rsid w:val="000C300B"/>
    <w:rsid w:val="000D1B75"/>
    <w:rsid w:val="000D2102"/>
    <w:rsid w:val="000D37D6"/>
    <w:rsid w:val="000E120D"/>
    <w:rsid w:val="000E30A1"/>
    <w:rsid w:val="000F0DBF"/>
    <w:rsid w:val="000F6F83"/>
    <w:rsid w:val="00103D0D"/>
    <w:rsid w:val="00105EBB"/>
    <w:rsid w:val="0011302B"/>
    <w:rsid w:val="0011319D"/>
    <w:rsid w:val="00117AD6"/>
    <w:rsid w:val="0012096D"/>
    <w:rsid w:val="00124DA2"/>
    <w:rsid w:val="00124FB8"/>
    <w:rsid w:val="0012543D"/>
    <w:rsid w:val="001266EB"/>
    <w:rsid w:val="0013229E"/>
    <w:rsid w:val="00137479"/>
    <w:rsid w:val="00137B93"/>
    <w:rsid w:val="001410F1"/>
    <w:rsid w:val="0014319C"/>
    <w:rsid w:val="001451BE"/>
    <w:rsid w:val="001452C4"/>
    <w:rsid w:val="00147415"/>
    <w:rsid w:val="001477F8"/>
    <w:rsid w:val="00151EAA"/>
    <w:rsid w:val="00157CEB"/>
    <w:rsid w:val="0016519C"/>
    <w:rsid w:val="00165234"/>
    <w:rsid w:val="001655DE"/>
    <w:rsid w:val="001740FB"/>
    <w:rsid w:val="0017496D"/>
    <w:rsid w:val="001849CA"/>
    <w:rsid w:val="00186408"/>
    <w:rsid w:val="00186D31"/>
    <w:rsid w:val="00193F79"/>
    <w:rsid w:val="0019465F"/>
    <w:rsid w:val="00194BBE"/>
    <w:rsid w:val="00197C12"/>
    <w:rsid w:val="001A38BB"/>
    <w:rsid w:val="001A7014"/>
    <w:rsid w:val="001B0626"/>
    <w:rsid w:val="001B1C0E"/>
    <w:rsid w:val="001B1CAE"/>
    <w:rsid w:val="001B36E2"/>
    <w:rsid w:val="001B4962"/>
    <w:rsid w:val="001C00F8"/>
    <w:rsid w:val="001C1C4C"/>
    <w:rsid w:val="001C36E4"/>
    <w:rsid w:val="001C7E90"/>
    <w:rsid w:val="001D1237"/>
    <w:rsid w:val="001E0395"/>
    <w:rsid w:val="001E2B30"/>
    <w:rsid w:val="001E2F12"/>
    <w:rsid w:val="001E54E5"/>
    <w:rsid w:val="001E64C7"/>
    <w:rsid w:val="001F2871"/>
    <w:rsid w:val="001F388D"/>
    <w:rsid w:val="001F5114"/>
    <w:rsid w:val="001F698B"/>
    <w:rsid w:val="00201583"/>
    <w:rsid w:val="0020584E"/>
    <w:rsid w:val="002113C2"/>
    <w:rsid w:val="00220CC9"/>
    <w:rsid w:val="0022128A"/>
    <w:rsid w:val="002247D9"/>
    <w:rsid w:val="00225C29"/>
    <w:rsid w:val="00232DF6"/>
    <w:rsid w:val="00233235"/>
    <w:rsid w:val="0023340A"/>
    <w:rsid w:val="002433EA"/>
    <w:rsid w:val="00246243"/>
    <w:rsid w:val="0024741E"/>
    <w:rsid w:val="00252D9F"/>
    <w:rsid w:val="002566F0"/>
    <w:rsid w:val="00256B10"/>
    <w:rsid w:val="00256B82"/>
    <w:rsid w:val="00260B67"/>
    <w:rsid w:val="00261389"/>
    <w:rsid w:val="002622E5"/>
    <w:rsid w:val="00262B35"/>
    <w:rsid w:val="0026451E"/>
    <w:rsid w:val="00266EAA"/>
    <w:rsid w:val="00267BD7"/>
    <w:rsid w:val="00271378"/>
    <w:rsid w:val="00271D5C"/>
    <w:rsid w:val="00283B67"/>
    <w:rsid w:val="0028534F"/>
    <w:rsid w:val="00286894"/>
    <w:rsid w:val="00286BA8"/>
    <w:rsid w:val="00290457"/>
    <w:rsid w:val="00297D7A"/>
    <w:rsid w:val="002A0E41"/>
    <w:rsid w:val="002A29B0"/>
    <w:rsid w:val="002A3246"/>
    <w:rsid w:val="002A5189"/>
    <w:rsid w:val="002A6D25"/>
    <w:rsid w:val="002B340E"/>
    <w:rsid w:val="002B4B9F"/>
    <w:rsid w:val="002B5A54"/>
    <w:rsid w:val="002B68CA"/>
    <w:rsid w:val="002C1F4B"/>
    <w:rsid w:val="002C2ABB"/>
    <w:rsid w:val="002C6B6C"/>
    <w:rsid w:val="002C6DD3"/>
    <w:rsid w:val="002D17F1"/>
    <w:rsid w:val="002D27CE"/>
    <w:rsid w:val="002D4801"/>
    <w:rsid w:val="002D6B49"/>
    <w:rsid w:val="002E194A"/>
    <w:rsid w:val="002E1EC7"/>
    <w:rsid w:val="002E6FD2"/>
    <w:rsid w:val="002F3014"/>
    <w:rsid w:val="002F46A9"/>
    <w:rsid w:val="00301A72"/>
    <w:rsid w:val="00310B61"/>
    <w:rsid w:val="0031596B"/>
    <w:rsid w:val="00317EA3"/>
    <w:rsid w:val="00327BAF"/>
    <w:rsid w:val="00335BD8"/>
    <w:rsid w:val="003361A3"/>
    <w:rsid w:val="00337D92"/>
    <w:rsid w:val="00347246"/>
    <w:rsid w:val="0035385D"/>
    <w:rsid w:val="00354DF7"/>
    <w:rsid w:val="00357AEC"/>
    <w:rsid w:val="00360164"/>
    <w:rsid w:val="0037184F"/>
    <w:rsid w:val="0037567A"/>
    <w:rsid w:val="00377B1B"/>
    <w:rsid w:val="00381D6A"/>
    <w:rsid w:val="00383F95"/>
    <w:rsid w:val="00386FCB"/>
    <w:rsid w:val="003954BC"/>
    <w:rsid w:val="00397514"/>
    <w:rsid w:val="003A0D0C"/>
    <w:rsid w:val="003A2EE5"/>
    <w:rsid w:val="003A7A12"/>
    <w:rsid w:val="003B2BBC"/>
    <w:rsid w:val="003B34CB"/>
    <w:rsid w:val="003B468A"/>
    <w:rsid w:val="003B50E3"/>
    <w:rsid w:val="003B709B"/>
    <w:rsid w:val="003C078C"/>
    <w:rsid w:val="003C3FBF"/>
    <w:rsid w:val="003C5254"/>
    <w:rsid w:val="003C5518"/>
    <w:rsid w:val="003C61AC"/>
    <w:rsid w:val="003D183C"/>
    <w:rsid w:val="003D2196"/>
    <w:rsid w:val="003D3AB7"/>
    <w:rsid w:val="003D4177"/>
    <w:rsid w:val="003D6C30"/>
    <w:rsid w:val="003E0BA2"/>
    <w:rsid w:val="003E24F2"/>
    <w:rsid w:val="003E77A3"/>
    <w:rsid w:val="003F0A5C"/>
    <w:rsid w:val="003F29B2"/>
    <w:rsid w:val="003F38E5"/>
    <w:rsid w:val="003F49F8"/>
    <w:rsid w:val="003F4A4E"/>
    <w:rsid w:val="003F5318"/>
    <w:rsid w:val="003F562A"/>
    <w:rsid w:val="003F6CFE"/>
    <w:rsid w:val="00400357"/>
    <w:rsid w:val="00406ED5"/>
    <w:rsid w:val="00407AE3"/>
    <w:rsid w:val="0041236E"/>
    <w:rsid w:val="004143AC"/>
    <w:rsid w:val="00416BD9"/>
    <w:rsid w:val="00420004"/>
    <w:rsid w:val="00420908"/>
    <w:rsid w:val="00427FB1"/>
    <w:rsid w:val="0043377C"/>
    <w:rsid w:val="00435579"/>
    <w:rsid w:val="004365C9"/>
    <w:rsid w:val="0044022C"/>
    <w:rsid w:val="004513C5"/>
    <w:rsid w:val="00451CC7"/>
    <w:rsid w:val="00456BC2"/>
    <w:rsid w:val="00460657"/>
    <w:rsid w:val="004615F3"/>
    <w:rsid w:val="004654A9"/>
    <w:rsid w:val="00465EB7"/>
    <w:rsid w:val="00466467"/>
    <w:rsid w:val="004765D2"/>
    <w:rsid w:val="00476DC5"/>
    <w:rsid w:val="004820B3"/>
    <w:rsid w:val="00482F53"/>
    <w:rsid w:val="00483645"/>
    <w:rsid w:val="00483A41"/>
    <w:rsid w:val="004918D3"/>
    <w:rsid w:val="00492E64"/>
    <w:rsid w:val="00493CD8"/>
    <w:rsid w:val="004A20C7"/>
    <w:rsid w:val="004A311F"/>
    <w:rsid w:val="004A6B48"/>
    <w:rsid w:val="004A76A4"/>
    <w:rsid w:val="004B1173"/>
    <w:rsid w:val="004B2317"/>
    <w:rsid w:val="004B2626"/>
    <w:rsid w:val="004C5696"/>
    <w:rsid w:val="004C5D16"/>
    <w:rsid w:val="004D2034"/>
    <w:rsid w:val="004F17E8"/>
    <w:rsid w:val="004F5FFE"/>
    <w:rsid w:val="004F77A3"/>
    <w:rsid w:val="0050155F"/>
    <w:rsid w:val="00501800"/>
    <w:rsid w:val="005022AD"/>
    <w:rsid w:val="00503BA9"/>
    <w:rsid w:val="00505B37"/>
    <w:rsid w:val="005077A4"/>
    <w:rsid w:val="0051215A"/>
    <w:rsid w:val="00512925"/>
    <w:rsid w:val="00513B42"/>
    <w:rsid w:val="00515E02"/>
    <w:rsid w:val="00532AF3"/>
    <w:rsid w:val="00532C1B"/>
    <w:rsid w:val="005332D6"/>
    <w:rsid w:val="005334EF"/>
    <w:rsid w:val="005367E5"/>
    <w:rsid w:val="00546A85"/>
    <w:rsid w:val="00547697"/>
    <w:rsid w:val="0055190F"/>
    <w:rsid w:val="00552A15"/>
    <w:rsid w:val="00557310"/>
    <w:rsid w:val="00563100"/>
    <w:rsid w:val="005639AE"/>
    <w:rsid w:val="00564D19"/>
    <w:rsid w:val="00574E79"/>
    <w:rsid w:val="005768CB"/>
    <w:rsid w:val="00577264"/>
    <w:rsid w:val="00577598"/>
    <w:rsid w:val="00582934"/>
    <w:rsid w:val="0058472A"/>
    <w:rsid w:val="00585875"/>
    <w:rsid w:val="005860D9"/>
    <w:rsid w:val="005914BD"/>
    <w:rsid w:val="005945D5"/>
    <w:rsid w:val="00595A20"/>
    <w:rsid w:val="005A05D9"/>
    <w:rsid w:val="005A3FC9"/>
    <w:rsid w:val="005A4627"/>
    <w:rsid w:val="005A5415"/>
    <w:rsid w:val="005A6F57"/>
    <w:rsid w:val="005A6F7A"/>
    <w:rsid w:val="005B0E37"/>
    <w:rsid w:val="005E0D54"/>
    <w:rsid w:val="005E0FD9"/>
    <w:rsid w:val="005E164E"/>
    <w:rsid w:val="005E6F05"/>
    <w:rsid w:val="005E7321"/>
    <w:rsid w:val="005E7EE8"/>
    <w:rsid w:val="005F4CB9"/>
    <w:rsid w:val="005F5226"/>
    <w:rsid w:val="005F6E72"/>
    <w:rsid w:val="00600CE1"/>
    <w:rsid w:val="006035C3"/>
    <w:rsid w:val="00603F98"/>
    <w:rsid w:val="00606DC5"/>
    <w:rsid w:val="00607DFC"/>
    <w:rsid w:val="00610B9B"/>
    <w:rsid w:val="00613DC3"/>
    <w:rsid w:val="0062074C"/>
    <w:rsid w:val="006219BE"/>
    <w:rsid w:val="00621F68"/>
    <w:rsid w:val="00627151"/>
    <w:rsid w:val="00630E9A"/>
    <w:rsid w:val="00632DB5"/>
    <w:rsid w:val="006346A1"/>
    <w:rsid w:val="006348CA"/>
    <w:rsid w:val="00636C00"/>
    <w:rsid w:val="00640C8C"/>
    <w:rsid w:val="006463C6"/>
    <w:rsid w:val="00651561"/>
    <w:rsid w:val="0065298B"/>
    <w:rsid w:val="00653B63"/>
    <w:rsid w:val="006561DF"/>
    <w:rsid w:val="006620BB"/>
    <w:rsid w:val="00672922"/>
    <w:rsid w:val="006746C0"/>
    <w:rsid w:val="006860C0"/>
    <w:rsid w:val="00694EE0"/>
    <w:rsid w:val="006958A3"/>
    <w:rsid w:val="006A0890"/>
    <w:rsid w:val="006A3881"/>
    <w:rsid w:val="006A7951"/>
    <w:rsid w:val="006B3074"/>
    <w:rsid w:val="006B48AC"/>
    <w:rsid w:val="006B631E"/>
    <w:rsid w:val="006B79FD"/>
    <w:rsid w:val="006C1C1E"/>
    <w:rsid w:val="006C57D3"/>
    <w:rsid w:val="006C6710"/>
    <w:rsid w:val="006D00F4"/>
    <w:rsid w:val="006D6413"/>
    <w:rsid w:val="006D79AE"/>
    <w:rsid w:val="006E2691"/>
    <w:rsid w:val="006E41B2"/>
    <w:rsid w:val="006E42FB"/>
    <w:rsid w:val="006F1798"/>
    <w:rsid w:val="00700373"/>
    <w:rsid w:val="00705185"/>
    <w:rsid w:val="00705685"/>
    <w:rsid w:val="00713E73"/>
    <w:rsid w:val="00714C55"/>
    <w:rsid w:val="00716E1D"/>
    <w:rsid w:val="00717296"/>
    <w:rsid w:val="007215CF"/>
    <w:rsid w:val="007219C0"/>
    <w:rsid w:val="00724D36"/>
    <w:rsid w:val="007258D9"/>
    <w:rsid w:val="007266AB"/>
    <w:rsid w:val="007339D3"/>
    <w:rsid w:val="00733A05"/>
    <w:rsid w:val="00733FBD"/>
    <w:rsid w:val="00735B17"/>
    <w:rsid w:val="00737F4F"/>
    <w:rsid w:val="007426C5"/>
    <w:rsid w:val="00753728"/>
    <w:rsid w:val="007618A9"/>
    <w:rsid w:val="00764507"/>
    <w:rsid w:val="007676AE"/>
    <w:rsid w:val="00767985"/>
    <w:rsid w:val="00774467"/>
    <w:rsid w:val="0077796F"/>
    <w:rsid w:val="007779FD"/>
    <w:rsid w:val="00777DBE"/>
    <w:rsid w:val="007807E0"/>
    <w:rsid w:val="00780BAB"/>
    <w:rsid w:val="00783C03"/>
    <w:rsid w:val="00790F61"/>
    <w:rsid w:val="00794ACA"/>
    <w:rsid w:val="007A0BE2"/>
    <w:rsid w:val="007A5298"/>
    <w:rsid w:val="007A70A4"/>
    <w:rsid w:val="007A7390"/>
    <w:rsid w:val="007C1EBC"/>
    <w:rsid w:val="007C3A74"/>
    <w:rsid w:val="007C6C77"/>
    <w:rsid w:val="007C6F5B"/>
    <w:rsid w:val="007D19F8"/>
    <w:rsid w:val="007D1D79"/>
    <w:rsid w:val="007D275E"/>
    <w:rsid w:val="007D4FFF"/>
    <w:rsid w:val="007D5D1A"/>
    <w:rsid w:val="007D690F"/>
    <w:rsid w:val="007E00DF"/>
    <w:rsid w:val="007E07BE"/>
    <w:rsid w:val="007E2FE0"/>
    <w:rsid w:val="007E5518"/>
    <w:rsid w:val="007F4B69"/>
    <w:rsid w:val="007F6E0E"/>
    <w:rsid w:val="007F7644"/>
    <w:rsid w:val="00800A58"/>
    <w:rsid w:val="008010DB"/>
    <w:rsid w:val="008032F0"/>
    <w:rsid w:val="008062DB"/>
    <w:rsid w:val="00815078"/>
    <w:rsid w:val="008229BB"/>
    <w:rsid w:val="008231ED"/>
    <w:rsid w:val="0082356F"/>
    <w:rsid w:val="008249E7"/>
    <w:rsid w:val="00827262"/>
    <w:rsid w:val="0083083C"/>
    <w:rsid w:val="008318CD"/>
    <w:rsid w:val="0083291B"/>
    <w:rsid w:val="00834F1A"/>
    <w:rsid w:val="00835A92"/>
    <w:rsid w:val="00836430"/>
    <w:rsid w:val="00842281"/>
    <w:rsid w:val="0084710C"/>
    <w:rsid w:val="008546BB"/>
    <w:rsid w:val="00855C1C"/>
    <w:rsid w:val="008624AB"/>
    <w:rsid w:val="00863919"/>
    <w:rsid w:val="00864FD5"/>
    <w:rsid w:val="00866CC6"/>
    <w:rsid w:val="00870EEA"/>
    <w:rsid w:val="00871B2D"/>
    <w:rsid w:val="00872829"/>
    <w:rsid w:val="00873135"/>
    <w:rsid w:val="00873F15"/>
    <w:rsid w:val="00877637"/>
    <w:rsid w:val="008822F8"/>
    <w:rsid w:val="00882438"/>
    <w:rsid w:val="0088282F"/>
    <w:rsid w:val="00884C27"/>
    <w:rsid w:val="008859D8"/>
    <w:rsid w:val="00892A57"/>
    <w:rsid w:val="008A6D8A"/>
    <w:rsid w:val="008A78BB"/>
    <w:rsid w:val="008C0329"/>
    <w:rsid w:val="008C044B"/>
    <w:rsid w:val="008C44E2"/>
    <w:rsid w:val="008C5C99"/>
    <w:rsid w:val="008D7A25"/>
    <w:rsid w:val="008E17AB"/>
    <w:rsid w:val="008E2419"/>
    <w:rsid w:val="008E48BF"/>
    <w:rsid w:val="008F0205"/>
    <w:rsid w:val="008F0472"/>
    <w:rsid w:val="008F07B5"/>
    <w:rsid w:val="008F4C3A"/>
    <w:rsid w:val="008F59C7"/>
    <w:rsid w:val="0090010C"/>
    <w:rsid w:val="00905E9B"/>
    <w:rsid w:val="009073CB"/>
    <w:rsid w:val="00907DE4"/>
    <w:rsid w:val="00912E33"/>
    <w:rsid w:val="009141F1"/>
    <w:rsid w:val="00923AB1"/>
    <w:rsid w:val="009305F0"/>
    <w:rsid w:val="009308B7"/>
    <w:rsid w:val="00932BF5"/>
    <w:rsid w:val="0094290E"/>
    <w:rsid w:val="00942FC0"/>
    <w:rsid w:val="00944A76"/>
    <w:rsid w:val="009464DE"/>
    <w:rsid w:val="0095007D"/>
    <w:rsid w:val="00953466"/>
    <w:rsid w:val="00957152"/>
    <w:rsid w:val="00957B71"/>
    <w:rsid w:val="00961A5B"/>
    <w:rsid w:val="0096350C"/>
    <w:rsid w:val="0097236B"/>
    <w:rsid w:val="00972C4E"/>
    <w:rsid w:val="009777E2"/>
    <w:rsid w:val="0098089C"/>
    <w:rsid w:val="009815A8"/>
    <w:rsid w:val="00982581"/>
    <w:rsid w:val="00983DDB"/>
    <w:rsid w:val="00994DAD"/>
    <w:rsid w:val="00995B87"/>
    <w:rsid w:val="009A0B86"/>
    <w:rsid w:val="009A468F"/>
    <w:rsid w:val="009A635E"/>
    <w:rsid w:val="009A708B"/>
    <w:rsid w:val="009A71DA"/>
    <w:rsid w:val="009A75FB"/>
    <w:rsid w:val="009B7040"/>
    <w:rsid w:val="009C1448"/>
    <w:rsid w:val="009C6EC6"/>
    <w:rsid w:val="009C7144"/>
    <w:rsid w:val="009C7899"/>
    <w:rsid w:val="009D3365"/>
    <w:rsid w:val="009D74CF"/>
    <w:rsid w:val="009E2BD1"/>
    <w:rsid w:val="009E55D2"/>
    <w:rsid w:val="009F3B1F"/>
    <w:rsid w:val="009F4248"/>
    <w:rsid w:val="00A025C2"/>
    <w:rsid w:val="00A07954"/>
    <w:rsid w:val="00A1794B"/>
    <w:rsid w:val="00A21EC7"/>
    <w:rsid w:val="00A242E1"/>
    <w:rsid w:val="00A3444D"/>
    <w:rsid w:val="00A379C0"/>
    <w:rsid w:val="00A41C27"/>
    <w:rsid w:val="00A4242F"/>
    <w:rsid w:val="00A42652"/>
    <w:rsid w:val="00A4332B"/>
    <w:rsid w:val="00A476CE"/>
    <w:rsid w:val="00A50646"/>
    <w:rsid w:val="00A528F3"/>
    <w:rsid w:val="00A5427F"/>
    <w:rsid w:val="00A564FB"/>
    <w:rsid w:val="00A574A8"/>
    <w:rsid w:val="00A623B8"/>
    <w:rsid w:val="00A64B5A"/>
    <w:rsid w:val="00A70FD4"/>
    <w:rsid w:val="00A75139"/>
    <w:rsid w:val="00A80F51"/>
    <w:rsid w:val="00A848FF"/>
    <w:rsid w:val="00A8575A"/>
    <w:rsid w:val="00A93D8D"/>
    <w:rsid w:val="00A9591C"/>
    <w:rsid w:val="00A95CE9"/>
    <w:rsid w:val="00A97525"/>
    <w:rsid w:val="00AA07F5"/>
    <w:rsid w:val="00AA0A94"/>
    <w:rsid w:val="00AA1E86"/>
    <w:rsid w:val="00AA4D15"/>
    <w:rsid w:val="00AB01AE"/>
    <w:rsid w:val="00AB1C62"/>
    <w:rsid w:val="00AB65A2"/>
    <w:rsid w:val="00AB674B"/>
    <w:rsid w:val="00AB76C2"/>
    <w:rsid w:val="00AC0BDE"/>
    <w:rsid w:val="00AC101F"/>
    <w:rsid w:val="00AC1526"/>
    <w:rsid w:val="00AC2EB9"/>
    <w:rsid w:val="00AC315C"/>
    <w:rsid w:val="00AC5919"/>
    <w:rsid w:val="00AC6F79"/>
    <w:rsid w:val="00AC7F68"/>
    <w:rsid w:val="00AD400B"/>
    <w:rsid w:val="00AD45E4"/>
    <w:rsid w:val="00AD6D0A"/>
    <w:rsid w:val="00AE313C"/>
    <w:rsid w:val="00AE5C61"/>
    <w:rsid w:val="00AE66F5"/>
    <w:rsid w:val="00AF1BE0"/>
    <w:rsid w:val="00AF6B79"/>
    <w:rsid w:val="00AF76FF"/>
    <w:rsid w:val="00AF7E14"/>
    <w:rsid w:val="00B02C95"/>
    <w:rsid w:val="00B0361B"/>
    <w:rsid w:val="00B078B9"/>
    <w:rsid w:val="00B07CEC"/>
    <w:rsid w:val="00B10B4A"/>
    <w:rsid w:val="00B166E0"/>
    <w:rsid w:val="00B25D07"/>
    <w:rsid w:val="00B3277B"/>
    <w:rsid w:val="00B32FBC"/>
    <w:rsid w:val="00B34C0A"/>
    <w:rsid w:val="00B34EE3"/>
    <w:rsid w:val="00B36952"/>
    <w:rsid w:val="00B401F1"/>
    <w:rsid w:val="00B415F9"/>
    <w:rsid w:val="00B4302E"/>
    <w:rsid w:val="00B44AA8"/>
    <w:rsid w:val="00B4755D"/>
    <w:rsid w:val="00B51C3B"/>
    <w:rsid w:val="00B573A4"/>
    <w:rsid w:val="00B6415E"/>
    <w:rsid w:val="00B66D85"/>
    <w:rsid w:val="00B70A4B"/>
    <w:rsid w:val="00B71393"/>
    <w:rsid w:val="00B86230"/>
    <w:rsid w:val="00B86A7C"/>
    <w:rsid w:val="00B92259"/>
    <w:rsid w:val="00B956E1"/>
    <w:rsid w:val="00BA0A6A"/>
    <w:rsid w:val="00BA4DE7"/>
    <w:rsid w:val="00BB3118"/>
    <w:rsid w:val="00BB6A0E"/>
    <w:rsid w:val="00BB79FE"/>
    <w:rsid w:val="00BC1567"/>
    <w:rsid w:val="00BC1E22"/>
    <w:rsid w:val="00BC4F39"/>
    <w:rsid w:val="00BC7E0C"/>
    <w:rsid w:val="00BD0486"/>
    <w:rsid w:val="00BD39CD"/>
    <w:rsid w:val="00BD4B7E"/>
    <w:rsid w:val="00BD7CFA"/>
    <w:rsid w:val="00BF3A21"/>
    <w:rsid w:val="00BF6D9A"/>
    <w:rsid w:val="00C02503"/>
    <w:rsid w:val="00C10CB0"/>
    <w:rsid w:val="00C110D8"/>
    <w:rsid w:val="00C14820"/>
    <w:rsid w:val="00C217B0"/>
    <w:rsid w:val="00C23ACB"/>
    <w:rsid w:val="00C24FAE"/>
    <w:rsid w:val="00C30233"/>
    <w:rsid w:val="00C314D1"/>
    <w:rsid w:val="00C32D58"/>
    <w:rsid w:val="00C33B18"/>
    <w:rsid w:val="00C401E9"/>
    <w:rsid w:val="00C442CD"/>
    <w:rsid w:val="00C516A3"/>
    <w:rsid w:val="00C52151"/>
    <w:rsid w:val="00C524BE"/>
    <w:rsid w:val="00C547BF"/>
    <w:rsid w:val="00C610BC"/>
    <w:rsid w:val="00C642A0"/>
    <w:rsid w:val="00C64A42"/>
    <w:rsid w:val="00C67F44"/>
    <w:rsid w:val="00C706FC"/>
    <w:rsid w:val="00C725B1"/>
    <w:rsid w:val="00C74AB3"/>
    <w:rsid w:val="00C859C4"/>
    <w:rsid w:val="00C87482"/>
    <w:rsid w:val="00C9011D"/>
    <w:rsid w:val="00C95DAC"/>
    <w:rsid w:val="00CA14CD"/>
    <w:rsid w:val="00CA7AFD"/>
    <w:rsid w:val="00CB075F"/>
    <w:rsid w:val="00CB3E16"/>
    <w:rsid w:val="00CB4B10"/>
    <w:rsid w:val="00CB7E37"/>
    <w:rsid w:val="00CC04FF"/>
    <w:rsid w:val="00CC1CB2"/>
    <w:rsid w:val="00CC5971"/>
    <w:rsid w:val="00CC5A24"/>
    <w:rsid w:val="00CC61C3"/>
    <w:rsid w:val="00CD1416"/>
    <w:rsid w:val="00CD3F45"/>
    <w:rsid w:val="00CD4388"/>
    <w:rsid w:val="00CD6775"/>
    <w:rsid w:val="00CE07F5"/>
    <w:rsid w:val="00CE18F5"/>
    <w:rsid w:val="00CE497E"/>
    <w:rsid w:val="00CE7FE6"/>
    <w:rsid w:val="00CF08FB"/>
    <w:rsid w:val="00CF13CC"/>
    <w:rsid w:val="00CF2CF9"/>
    <w:rsid w:val="00CF3B04"/>
    <w:rsid w:val="00CF3CD8"/>
    <w:rsid w:val="00D0355F"/>
    <w:rsid w:val="00D04A98"/>
    <w:rsid w:val="00D069AF"/>
    <w:rsid w:val="00D107F2"/>
    <w:rsid w:val="00D205BA"/>
    <w:rsid w:val="00D22C81"/>
    <w:rsid w:val="00D246D6"/>
    <w:rsid w:val="00D250D0"/>
    <w:rsid w:val="00D304E7"/>
    <w:rsid w:val="00D32E18"/>
    <w:rsid w:val="00D37536"/>
    <w:rsid w:val="00D41D4C"/>
    <w:rsid w:val="00D57071"/>
    <w:rsid w:val="00D625C8"/>
    <w:rsid w:val="00D6330E"/>
    <w:rsid w:val="00D63366"/>
    <w:rsid w:val="00D738BF"/>
    <w:rsid w:val="00D76D88"/>
    <w:rsid w:val="00D81753"/>
    <w:rsid w:val="00D83705"/>
    <w:rsid w:val="00D85F18"/>
    <w:rsid w:val="00D87E67"/>
    <w:rsid w:val="00D90166"/>
    <w:rsid w:val="00D902D4"/>
    <w:rsid w:val="00D90760"/>
    <w:rsid w:val="00D93747"/>
    <w:rsid w:val="00D95C8C"/>
    <w:rsid w:val="00DA6392"/>
    <w:rsid w:val="00DB111F"/>
    <w:rsid w:val="00DB1FF3"/>
    <w:rsid w:val="00DB251D"/>
    <w:rsid w:val="00DB4CFF"/>
    <w:rsid w:val="00DC36EB"/>
    <w:rsid w:val="00DC4FDD"/>
    <w:rsid w:val="00DD4822"/>
    <w:rsid w:val="00DE0D53"/>
    <w:rsid w:val="00DE4C1D"/>
    <w:rsid w:val="00DF328C"/>
    <w:rsid w:val="00E01524"/>
    <w:rsid w:val="00E03B6C"/>
    <w:rsid w:val="00E04828"/>
    <w:rsid w:val="00E1346B"/>
    <w:rsid w:val="00E16CB5"/>
    <w:rsid w:val="00E23B64"/>
    <w:rsid w:val="00E24A4E"/>
    <w:rsid w:val="00E24CF7"/>
    <w:rsid w:val="00E27EE0"/>
    <w:rsid w:val="00E3015E"/>
    <w:rsid w:val="00E310D8"/>
    <w:rsid w:val="00E31FE3"/>
    <w:rsid w:val="00E3665C"/>
    <w:rsid w:val="00E37A79"/>
    <w:rsid w:val="00E41BB8"/>
    <w:rsid w:val="00E4510E"/>
    <w:rsid w:val="00E47F9C"/>
    <w:rsid w:val="00E520C4"/>
    <w:rsid w:val="00E57D6B"/>
    <w:rsid w:val="00E62949"/>
    <w:rsid w:val="00E645FE"/>
    <w:rsid w:val="00E672C9"/>
    <w:rsid w:val="00E775BD"/>
    <w:rsid w:val="00E8054B"/>
    <w:rsid w:val="00E81F4F"/>
    <w:rsid w:val="00E830DB"/>
    <w:rsid w:val="00E84237"/>
    <w:rsid w:val="00E87A9C"/>
    <w:rsid w:val="00E90787"/>
    <w:rsid w:val="00E92F71"/>
    <w:rsid w:val="00E93EE6"/>
    <w:rsid w:val="00E95A49"/>
    <w:rsid w:val="00E9684A"/>
    <w:rsid w:val="00E96F0E"/>
    <w:rsid w:val="00EA2961"/>
    <w:rsid w:val="00EA3DE8"/>
    <w:rsid w:val="00EA42D5"/>
    <w:rsid w:val="00EA73FE"/>
    <w:rsid w:val="00EB0F4D"/>
    <w:rsid w:val="00EB1346"/>
    <w:rsid w:val="00EB1615"/>
    <w:rsid w:val="00EB1C44"/>
    <w:rsid w:val="00EB269C"/>
    <w:rsid w:val="00EB27D3"/>
    <w:rsid w:val="00EB2932"/>
    <w:rsid w:val="00EB4562"/>
    <w:rsid w:val="00EB496B"/>
    <w:rsid w:val="00EC228C"/>
    <w:rsid w:val="00EC42BF"/>
    <w:rsid w:val="00EC538D"/>
    <w:rsid w:val="00EC5583"/>
    <w:rsid w:val="00EC558F"/>
    <w:rsid w:val="00ED58E5"/>
    <w:rsid w:val="00ED62B6"/>
    <w:rsid w:val="00ED6CB2"/>
    <w:rsid w:val="00EE49D4"/>
    <w:rsid w:val="00EE63D1"/>
    <w:rsid w:val="00EE7D68"/>
    <w:rsid w:val="00EF28E5"/>
    <w:rsid w:val="00EF673B"/>
    <w:rsid w:val="00F04546"/>
    <w:rsid w:val="00F05229"/>
    <w:rsid w:val="00F10C10"/>
    <w:rsid w:val="00F11F0B"/>
    <w:rsid w:val="00F12BC2"/>
    <w:rsid w:val="00F13AF2"/>
    <w:rsid w:val="00F14E0B"/>
    <w:rsid w:val="00F22F84"/>
    <w:rsid w:val="00F2415F"/>
    <w:rsid w:val="00F24A88"/>
    <w:rsid w:val="00F25A39"/>
    <w:rsid w:val="00F268BF"/>
    <w:rsid w:val="00F304DB"/>
    <w:rsid w:val="00F32BB2"/>
    <w:rsid w:val="00F33CDA"/>
    <w:rsid w:val="00F442AD"/>
    <w:rsid w:val="00F524F2"/>
    <w:rsid w:val="00F63EC9"/>
    <w:rsid w:val="00F6545B"/>
    <w:rsid w:val="00F675AE"/>
    <w:rsid w:val="00F75180"/>
    <w:rsid w:val="00F779E0"/>
    <w:rsid w:val="00F8029E"/>
    <w:rsid w:val="00F83687"/>
    <w:rsid w:val="00F83BF1"/>
    <w:rsid w:val="00F84923"/>
    <w:rsid w:val="00F8611C"/>
    <w:rsid w:val="00F8702E"/>
    <w:rsid w:val="00F91F9A"/>
    <w:rsid w:val="00F95C92"/>
    <w:rsid w:val="00F97CE1"/>
    <w:rsid w:val="00FA1DB0"/>
    <w:rsid w:val="00FA2659"/>
    <w:rsid w:val="00FB1343"/>
    <w:rsid w:val="00FB1B35"/>
    <w:rsid w:val="00FC103F"/>
    <w:rsid w:val="00FC1289"/>
    <w:rsid w:val="00FD07AD"/>
    <w:rsid w:val="00FD2F59"/>
    <w:rsid w:val="00FD5313"/>
    <w:rsid w:val="00FD54C0"/>
    <w:rsid w:val="00FD5630"/>
    <w:rsid w:val="00FD6B9B"/>
    <w:rsid w:val="00FE2EC2"/>
    <w:rsid w:val="00FE302B"/>
    <w:rsid w:val="00FE4369"/>
    <w:rsid w:val="00FE5096"/>
    <w:rsid w:val="00FE7897"/>
    <w:rsid w:val="00FF04FC"/>
    <w:rsid w:val="00FF131C"/>
    <w:rsid w:val="00FF4C5C"/>
    <w:rsid w:val="00FF6453"/>
    <w:rsid w:val="08C517E1"/>
    <w:rsid w:val="13086A4E"/>
    <w:rsid w:val="1A5B643F"/>
    <w:rsid w:val="3CB9790C"/>
    <w:rsid w:val="42A2118B"/>
    <w:rsid w:val="48B070AC"/>
    <w:rsid w:val="4BBF1088"/>
    <w:rsid w:val="59FB2037"/>
    <w:rsid w:val="6006363E"/>
    <w:rsid w:val="641C6E32"/>
    <w:rsid w:val="65963C6B"/>
    <w:rsid w:val="6DFF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19"/>
    <w:qFormat/>
    <w:uiPriority w:val="0"/>
    <w:pPr>
      <w:keepNext/>
      <w:keepLines/>
      <w:spacing w:before="100" w:beforeAutospacing="1" w:line="408" w:lineRule="auto"/>
      <w:outlineLvl w:val="1"/>
    </w:pPr>
    <w:rPr>
      <w:rFonts w:ascii="Arial" w:hAnsi="Arial" w:eastAsia="黑体"/>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qFormat/>
    <w:uiPriority w:val="0"/>
    <w:pPr>
      <w:spacing w:after="120"/>
    </w:pPr>
    <w:rPr>
      <w:kern w:val="0"/>
      <w:sz w:val="20"/>
    </w:rPr>
  </w:style>
  <w:style w:type="paragraph" w:styleId="5">
    <w:name w:val="Body Text Indent"/>
    <w:basedOn w:val="1"/>
    <w:link w:val="21"/>
    <w:qFormat/>
    <w:uiPriority w:val="0"/>
    <w:pPr>
      <w:spacing w:line="400" w:lineRule="exact"/>
      <w:ind w:left="2110" w:leftChars="333" w:hanging="1411" w:hangingChars="588"/>
    </w:pPr>
    <w:rPr>
      <w:rFonts w:ascii="宋体" w:hAnsi="宋体"/>
      <w:color w:val="000000"/>
      <w:kern w:val="0"/>
      <w:sz w:val="24"/>
    </w:rPr>
  </w:style>
  <w:style w:type="paragraph" w:styleId="6">
    <w:name w:val="Date"/>
    <w:basedOn w:val="1"/>
    <w:next w:val="1"/>
    <w:link w:val="25"/>
    <w:qFormat/>
    <w:uiPriority w:val="0"/>
    <w:pPr>
      <w:ind w:left="100" w:leftChars="2500"/>
    </w:pPr>
    <w:rPr>
      <w:kern w:val="0"/>
      <w:sz w:val="20"/>
    </w:rPr>
  </w:style>
  <w:style w:type="paragraph" w:styleId="7">
    <w:name w:val="Body Text Indent 2"/>
    <w:basedOn w:val="1"/>
    <w:link w:val="20"/>
    <w:qFormat/>
    <w:uiPriority w:val="0"/>
    <w:pPr>
      <w:spacing w:after="120" w:line="480" w:lineRule="auto"/>
      <w:ind w:left="420" w:leftChars="200"/>
    </w:pPr>
    <w:rPr>
      <w:kern w:val="0"/>
      <w:sz w:val="20"/>
    </w:rPr>
  </w:style>
  <w:style w:type="paragraph" w:styleId="8">
    <w:name w:val="Balloon Text"/>
    <w:basedOn w:val="1"/>
    <w:link w:val="23"/>
    <w:semiHidden/>
    <w:qFormat/>
    <w:uiPriority w:val="0"/>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kern w:val="0"/>
      <w:sz w:val="24"/>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qFormat/>
    <w:uiPriority w:val="99"/>
    <w:rPr>
      <w:b/>
      <w:bCs/>
    </w:rPr>
  </w:style>
  <w:style w:type="character" w:styleId="16">
    <w:name w:val="page number"/>
    <w:basedOn w:val="14"/>
    <w:qFormat/>
    <w:uiPriority w:val="0"/>
  </w:style>
  <w:style w:type="character" w:styleId="17">
    <w:name w:val="FollowedHyperlink"/>
    <w:qFormat/>
    <w:uiPriority w:val="99"/>
    <w:rPr>
      <w:color w:val="800080"/>
      <w:u w:val="single"/>
    </w:rPr>
  </w:style>
  <w:style w:type="character" w:styleId="18">
    <w:name w:val="Hyperlink"/>
    <w:qFormat/>
    <w:uiPriority w:val="99"/>
    <w:rPr>
      <w:color w:val="0000FF"/>
      <w:u w:val="single"/>
    </w:rPr>
  </w:style>
  <w:style w:type="character" w:customStyle="1" w:styleId="19">
    <w:name w:val="标题 2 字符"/>
    <w:link w:val="3"/>
    <w:qFormat/>
    <w:uiPriority w:val="0"/>
    <w:rPr>
      <w:rFonts w:ascii="Arial" w:hAnsi="Arial" w:eastAsia="黑体" w:cs="Times New Roman"/>
      <w:b/>
      <w:bCs/>
      <w:sz w:val="32"/>
      <w:szCs w:val="32"/>
    </w:rPr>
  </w:style>
  <w:style w:type="character" w:customStyle="1" w:styleId="20">
    <w:name w:val="正文文本缩进 2 字符"/>
    <w:link w:val="7"/>
    <w:qFormat/>
    <w:uiPriority w:val="0"/>
    <w:rPr>
      <w:rFonts w:ascii="Times New Roman" w:hAnsi="Times New Roman" w:eastAsia="宋体" w:cs="Times New Roman"/>
      <w:szCs w:val="24"/>
    </w:rPr>
  </w:style>
  <w:style w:type="character" w:customStyle="1" w:styleId="21">
    <w:name w:val="正文文本缩进 字符"/>
    <w:link w:val="5"/>
    <w:qFormat/>
    <w:uiPriority w:val="0"/>
    <w:rPr>
      <w:rFonts w:ascii="宋体" w:hAnsi="宋体" w:eastAsia="宋体" w:cs="Times New Roman"/>
      <w:color w:val="000000"/>
      <w:kern w:val="0"/>
      <w:sz w:val="24"/>
      <w:szCs w:val="24"/>
    </w:rPr>
  </w:style>
  <w:style w:type="character" w:customStyle="1" w:styleId="22">
    <w:name w:val="标题 1 字符"/>
    <w:link w:val="2"/>
    <w:qFormat/>
    <w:uiPriority w:val="0"/>
    <w:rPr>
      <w:rFonts w:ascii="宋体" w:hAnsi="宋体" w:eastAsia="宋体" w:cs="Times New Roman"/>
      <w:b/>
      <w:bCs/>
      <w:kern w:val="36"/>
      <w:sz w:val="48"/>
      <w:szCs w:val="48"/>
    </w:rPr>
  </w:style>
  <w:style w:type="character" w:customStyle="1" w:styleId="23">
    <w:name w:val="批注框文本 字符"/>
    <w:link w:val="8"/>
    <w:semiHidden/>
    <w:qFormat/>
    <w:uiPriority w:val="0"/>
    <w:rPr>
      <w:rFonts w:ascii="Times New Roman" w:hAnsi="Times New Roman" w:eastAsia="宋体" w:cs="Times New Roman"/>
      <w:sz w:val="18"/>
      <w:szCs w:val="18"/>
    </w:rPr>
  </w:style>
  <w:style w:type="character" w:customStyle="1" w:styleId="24">
    <w:name w:val="正文文本 字符"/>
    <w:link w:val="4"/>
    <w:qFormat/>
    <w:uiPriority w:val="0"/>
    <w:rPr>
      <w:rFonts w:ascii="Times New Roman" w:hAnsi="Times New Roman" w:eastAsia="宋体" w:cs="Times New Roman"/>
      <w:szCs w:val="24"/>
    </w:rPr>
  </w:style>
  <w:style w:type="character" w:customStyle="1" w:styleId="25">
    <w:name w:val="日期 字符"/>
    <w:link w:val="6"/>
    <w:qFormat/>
    <w:uiPriority w:val="0"/>
    <w:rPr>
      <w:rFonts w:ascii="Times New Roman" w:hAnsi="Times New Roman" w:eastAsia="宋体" w:cs="Times New Roman"/>
      <w:szCs w:val="24"/>
    </w:rPr>
  </w:style>
  <w:style w:type="character" w:customStyle="1" w:styleId="26">
    <w:name w:val="页脚 字符"/>
    <w:link w:val="9"/>
    <w:qFormat/>
    <w:uiPriority w:val="99"/>
    <w:rPr>
      <w:sz w:val="18"/>
      <w:szCs w:val="18"/>
    </w:rPr>
  </w:style>
  <w:style w:type="character" w:customStyle="1" w:styleId="27">
    <w:name w:val="页眉 字符"/>
    <w:link w:val="10"/>
    <w:qFormat/>
    <w:uiPriority w:val="0"/>
    <w:rPr>
      <w:sz w:val="18"/>
      <w:szCs w:val="18"/>
    </w:rPr>
  </w:style>
  <w:style w:type="character" w:customStyle="1" w:styleId="28">
    <w:name w:val="font81"/>
    <w:qFormat/>
    <w:uiPriority w:val="0"/>
    <w:rPr>
      <w:rFonts w:hint="eastAsia" w:ascii="宋体" w:hAnsi="宋体" w:eastAsia="宋体" w:cs="宋体"/>
      <w:color w:val="000000"/>
      <w:sz w:val="20"/>
      <w:szCs w:val="20"/>
      <w:u w:val="none"/>
    </w:rPr>
  </w:style>
  <w:style w:type="paragraph" w:customStyle="1" w:styleId="2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0">
    <w:name w:val="xl95"/>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6"/>
      <w:szCs w:val="16"/>
    </w:rPr>
  </w:style>
  <w:style w:type="paragraph" w:customStyle="1" w:styleId="32">
    <w:name w:val="xl83"/>
    <w:basedOn w:val="1"/>
    <w:qFormat/>
    <w:uiPriority w:val="0"/>
    <w:pPr>
      <w:widowControl/>
      <w:pBdr>
        <w:top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3">
    <w:name w:val="xl89"/>
    <w:basedOn w:val="1"/>
    <w:qFormat/>
    <w:uiPriority w:val="0"/>
    <w:pPr>
      <w:widowControl/>
      <w:pBdr>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34">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35">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8"/>
      <w:szCs w:val="18"/>
    </w:rPr>
  </w:style>
  <w:style w:type="paragraph" w:customStyle="1" w:styleId="3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8">
    <w:name w:val="xl10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9">
    <w:name w:val="目录 11"/>
    <w:basedOn w:val="1"/>
    <w:next w:val="1"/>
    <w:semiHidden/>
    <w:qFormat/>
    <w:uiPriority w:val="0"/>
  </w:style>
  <w:style w:type="paragraph" w:customStyle="1" w:styleId="40">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1">
    <w:name w:val="xl99"/>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4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color w:val="000000"/>
      <w:kern w:val="0"/>
      <w:sz w:val="18"/>
      <w:szCs w:val="18"/>
    </w:rPr>
  </w:style>
  <w:style w:type="paragraph" w:customStyle="1" w:styleId="4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44">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7">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8">
    <w:name w:val="xl9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5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1">
    <w:name w:val="xl55"/>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2">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3">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b/>
      <w:bCs/>
      <w:color w:val="000000"/>
      <w:kern w:val="0"/>
      <w:sz w:val="18"/>
      <w:szCs w:val="18"/>
    </w:rPr>
  </w:style>
  <w:style w:type="paragraph" w:customStyle="1" w:styleId="55">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57">
    <w:name w:val="xl112"/>
    <w:basedOn w:val="1"/>
    <w:qFormat/>
    <w:uiPriority w:val="0"/>
    <w:pPr>
      <w:widowControl/>
      <w:pBdr>
        <w:top w:val="single" w:color="auto" w:sz="4" w:space="0"/>
        <w:left w:val="single" w:color="auto" w:sz="4" w:space="0"/>
        <w:bottom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58">
    <w:name w:val="xl39"/>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59">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Arial Unicode MS" w:hAnsi="Arial Unicode MS" w:eastAsia="Arial Unicode MS" w:cs="Arial Unicode MS"/>
      <w:b/>
      <w:bCs/>
      <w:color w:val="000000"/>
      <w:kern w:val="0"/>
      <w:sz w:val="18"/>
      <w:szCs w:val="18"/>
    </w:rPr>
  </w:style>
  <w:style w:type="paragraph" w:customStyle="1" w:styleId="6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61">
    <w:name w:val="xl71"/>
    <w:basedOn w:val="1"/>
    <w:qFormat/>
    <w:uiPriority w:val="0"/>
    <w:pPr>
      <w:widowControl/>
      <w:spacing w:before="100" w:beforeAutospacing="1" w:after="100" w:afterAutospacing="1"/>
      <w:jc w:val="center"/>
      <w:textAlignment w:val="center"/>
    </w:pPr>
    <w:rPr>
      <w:rFonts w:ascii="宋体" w:hAnsi="宋体" w:cs="宋体"/>
      <w:b/>
      <w:bCs/>
      <w:kern w:val="0"/>
      <w:sz w:val="18"/>
      <w:szCs w:val="18"/>
    </w:rPr>
  </w:style>
  <w:style w:type="paragraph" w:customStyle="1" w:styleId="62">
    <w:name w:val="xl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63">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4">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6">
    <w:name w:val="xl58"/>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24"/>
    </w:rPr>
  </w:style>
  <w:style w:type="paragraph" w:customStyle="1" w:styleId="67">
    <w:name w:val="xl74"/>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68">
    <w:name w:val="xl53"/>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71">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72">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3">
    <w:name w:val="xl54"/>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75">
    <w:name w:val="xl52"/>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8">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9">
    <w:name w:val="xl69"/>
    <w:basedOn w:val="1"/>
    <w:qFormat/>
    <w:uiPriority w:val="0"/>
    <w:pPr>
      <w:widowControl/>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8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1">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3">
    <w:name w:val="xl73"/>
    <w:basedOn w:val="1"/>
    <w:qFormat/>
    <w:uiPriority w:val="0"/>
    <w:pPr>
      <w:widowControl/>
      <w:spacing w:before="100" w:beforeAutospacing="1" w:after="100" w:afterAutospacing="1"/>
      <w:jc w:val="center"/>
      <w:textAlignment w:val="center"/>
    </w:pPr>
    <w:rPr>
      <w:rFonts w:ascii="宋体" w:hAnsi="宋体" w:cs="宋体"/>
      <w:b/>
      <w:bCs/>
      <w:color w:val="000000"/>
      <w:kern w:val="0"/>
      <w:sz w:val="24"/>
    </w:rPr>
  </w:style>
  <w:style w:type="paragraph" w:customStyle="1" w:styleId="8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85">
    <w:name w:val="xl101"/>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86">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88">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9">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9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6"/>
      <w:szCs w:val="16"/>
    </w:rPr>
  </w:style>
  <w:style w:type="paragraph" w:customStyle="1" w:styleId="91">
    <w:name w:val="xl10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82"/>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93">
    <w:name w:val="xl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94">
    <w:name w:val="xl100"/>
    <w:basedOn w:val="1"/>
    <w:qFormat/>
    <w:uiPriority w:val="0"/>
    <w:pPr>
      <w:widowControl/>
      <w:spacing w:before="100" w:beforeAutospacing="1" w:after="100" w:afterAutospacing="1"/>
      <w:jc w:val="center"/>
    </w:pPr>
    <w:rPr>
      <w:rFonts w:ascii="宋体" w:hAnsi="宋体" w:cs="宋体"/>
      <w:b/>
      <w:bCs/>
      <w:color w:val="000000"/>
      <w:kern w:val="0"/>
      <w:sz w:val="18"/>
      <w:szCs w:val="18"/>
    </w:rPr>
  </w:style>
  <w:style w:type="paragraph" w:customStyle="1" w:styleId="95">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9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18"/>
      <w:szCs w:val="18"/>
    </w:rPr>
  </w:style>
  <w:style w:type="paragraph" w:customStyle="1" w:styleId="98">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9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10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01">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02">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103">
    <w:name w:val="Char Char Char"/>
    <w:basedOn w:val="1"/>
    <w:qFormat/>
    <w:uiPriority w:val="0"/>
    <w:rPr>
      <w:rFonts w:ascii="Tahoma" w:hAnsi="Tahoma"/>
      <w:sz w:val="24"/>
      <w:szCs w:val="20"/>
    </w:rPr>
  </w:style>
  <w:style w:type="paragraph" w:customStyle="1" w:styleId="10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5">
    <w:name w:val="样式2"/>
    <w:basedOn w:val="1"/>
    <w:qFormat/>
    <w:uiPriority w:val="0"/>
    <w:pPr>
      <w:spacing w:line="440" w:lineRule="exact"/>
      <w:ind w:firstLine="432"/>
    </w:pPr>
    <w:rPr>
      <w:rFonts w:ascii="宋体" w:hAnsi="宋体"/>
      <w:b/>
      <w:color w:val="FF00FF"/>
      <w:sz w:val="24"/>
    </w:rPr>
  </w:style>
  <w:style w:type="paragraph" w:customStyle="1" w:styleId="106">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107">
    <w:name w:val="xl70"/>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08">
    <w:name w:val="xl72"/>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09">
    <w:name w:val="xl75"/>
    <w:basedOn w:val="1"/>
    <w:qFormat/>
    <w:uiPriority w:val="0"/>
    <w:pPr>
      <w:widowControl/>
      <w:spacing w:before="100" w:beforeAutospacing="1" w:after="100" w:afterAutospacing="1"/>
      <w:jc w:val="left"/>
      <w:textAlignment w:val="center"/>
    </w:pPr>
    <w:rPr>
      <w:rFonts w:ascii="宋体" w:hAnsi="宋体" w:cs="宋体"/>
      <w:b/>
      <w:bCs/>
      <w:color w:val="000000"/>
      <w:kern w:val="0"/>
      <w:sz w:val="24"/>
    </w:rPr>
  </w:style>
  <w:style w:type="paragraph" w:customStyle="1" w:styleId="110">
    <w:name w:val="xl10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3">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114">
    <w:name w:val="xl8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115">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116">
    <w:name w:val="font7"/>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18">
    <w:name w:val="font6"/>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9">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2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1">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22">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4">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5">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6">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127">
    <w:name w:val="xl121"/>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28">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29">
    <w:name w:val="xl12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0">
    <w:name w:val="xl124"/>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1">
    <w:name w:val="xl125"/>
    <w:basedOn w:val="1"/>
    <w:qFormat/>
    <w:uiPriority w:val="0"/>
    <w:pPr>
      <w:widowControl/>
      <w:pBdr>
        <w:lef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2">
    <w:name w:val="xl12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Company>
  <Pages>5</Pages>
  <Words>3595</Words>
  <Characters>3731</Characters>
  <Lines>21</Lines>
  <Paragraphs>6</Paragraphs>
  <TotalTime>6</TotalTime>
  <ScaleCrop>false</ScaleCrop>
  <LinksUpToDate>false</LinksUpToDate>
  <CharactersWithSpaces>3735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2022-03-29T03:43:00Z</dcterms:created>
  <dc:creator>饶晶</dc:creator>
  <cp:lastModifiedBy>毛星宁</cp:lastModifiedBy>
  <cp:lastPrinted>2016-05-13T07:25:00Z</cp:lastPrinted>
  <dcterms:modified xsi:type="dcterms:W3CDTF">2023-07-03T13:37:04Z</dcterms:modified>
  <cp:revision>265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E850F49D3B194DBF9FAA20688AA4FB7A_12</vt:lpwstr>
  </property>
</Properties>
</file>