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宋体" w:hAnsi="宋体" w:eastAsia="黑体"/>
          <w:b/>
          <w:color w:val="000000" w:themeColor="text1"/>
          <w:sz w:val="32"/>
          <w:szCs w:val="32"/>
          <w14:textFill>
            <w14:solidFill>
              <w14:schemeClr w14:val="tx1"/>
            </w14:solidFill>
          </w14:textFill>
        </w:rPr>
      </w:pPr>
      <w:r>
        <w:rPr>
          <w:rStyle w:val="19"/>
          <w:rFonts w:hint="eastAsia" w:ascii="黑体" w:hAnsi="黑体" w:eastAsia="黑体"/>
          <w:color w:val="000000" w:themeColor="text1"/>
          <w:lang w:val="en-US" w:eastAsia="zh-CN"/>
          <w14:textFill>
            <w14:solidFill>
              <w14:schemeClr w14:val="tx1"/>
            </w14:solidFill>
          </w14:textFill>
        </w:rPr>
        <w:t>四年制</w:t>
      </w:r>
      <w:r>
        <w:rPr>
          <w:rStyle w:val="19"/>
          <w:rFonts w:hint="eastAsia" w:ascii="黑体" w:hAnsi="黑体"/>
          <w:color w:val="000000" w:themeColor="text1"/>
          <w14:textFill>
            <w14:solidFill>
              <w14:schemeClr w14:val="tx1"/>
            </w14:solidFill>
          </w14:textFill>
        </w:rPr>
        <w:t>公共事业管理专业</w:t>
      </w:r>
      <w:r>
        <w:rPr>
          <w:rStyle w:val="19"/>
          <w:rFonts w:hint="eastAsia" w:ascii="黑体" w:hAnsi="黑体" w:eastAsia="黑体"/>
          <w:color w:val="000000" w:themeColor="text1"/>
          <w:lang w:eastAsia="zh-CN"/>
          <w14:textFill>
            <w14:solidFill>
              <w14:schemeClr w14:val="tx1"/>
            </w14:solidFill>
          </w14:textFill>
        </w:rPr>
        <w:t>（</w:t>
      </w:r>
      <w:r>
        <w:rPr>
          <w:rStyle w:val="19"/>
          <w:rFonts w:hint="eastAsia" w:ascii="黑体" w:hAnsi="黑体" w:eastAsia="黑体"/>
          <w:color w:val="000000" w:themeColor="text1"/>
          <w:lang w:val="en-US" w:eastAsia="zh-CN"/>
          <w14:textFill>
            <w14:solidFill>
              <w14:schemeClr w14:val="tx1"/>
            </w14:solidFill>
          </w14:textFill>
        </w:rPr>
        <w:t>社会医疗保障方向</w:t>
      </w:r>
      <w:r>
        <w:rPr>
          <w:rStyle w:val="19"/>
          <w:rFonts w:hint="eastAsia" w:ascii="黑体" w:hAnsi="黑体" w:eastAsia="黑体"/>
          <w:color w:val="000000" w:themeColor="text1"/>
          <w:lang w:eastAsia="zh-CN"/>
          <w14:textFill>
            <w14:solidFill>
              <w14:schemeClr w14:val="tx1"/>
            </w14:solidFill>
          </w14:textFill>
        </w:rPr>
        <w:t>）</w:t>
      </w:r>
      <w:r>
        <w:rPr>
          <w:rStyle w:val="19"/>
          <w:rFonts w:hint="eastAsia" w:ascii="黑体" w:hAnsi="黑体" w:eastAsia="黑体"/>
          <w:color w:val="000000" w:themeColor="text1"/>
          <w:lang w:val="en-US" w:eastAsia="zh-CN"/>
          <w14:textFill>
            <w14:solidFill>
              <w14:schemeClr w14:val="tx1"/>
            </w14:solidFill>
          </w14:textFill>
        </w:rPr>
        <w:t>中外合作办学</w:t>
      </w:r>
      <w:r>
        <w:rPr>
          <w:rStyle w:val="19"/>
          <w:rFonts w:hint="eastAsia" w:ascii="黑体" w:hAnsi="黑体"/>
          <w:color w:val="000000" w:themeColor="text1"/>
          <w14:textFill>
            <w14:solidFill>
              <w14:schemeClr w14:val="tx1"/>
            </w14:solidFill>
          </w14:textFill>
        </w:rPr>
        <w:t>项目人才培养方案（不出国版）</w:t>
      </w:r>
    </w:p>
    <w:p>
      <w:pPr>
        <w:rPr>
          <w:rFonts w:ascii="宋体" w:hAnsi="宋体"/>
          <w:b/>
          <w:color w:val="000000" w:themeColor="text1"/>
          <w:sz w:val="24"/>
          <w14:textFill>
            <w14:solidFill>
              <w14:schemeClr w14:val="tx1"/>
            </w14:solidFill>
          </w14:textFill>
        </w:rPr>
      </w:pPr>
    </w:p>
    <w:p>
      <w:pP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一、培养目标</w:t>
      </w:r>
    </w:p>
    <w:p>
      <w:pPr>
        <w:ind w:firstLine="480" w:firstLineChars="200"/>
        <w:rPr>
          <w:rFonts w:ascii="宋体" w:hAnsi="宋体" w:cs="Arial"/>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培养</w:t>
      </w:r>
      <w:r>
        <w:rPr>
          <w:rFonts w:hint="eastAsia" w:ascii="宋体" w:hAnsi="宋体" w:cs="Arial"/>
          <w:color w:val="000000" w:themeColor="text1"/>
          <w:kern w:val="0"/>
          <w:sz w:val="24"/>
          <w:highlight w:val="none"/>
          <w14:textFill>
            <w14:solidFill>
              <w14:schemeClr w14:val="tx1"/>
            </w14:solidFill>
          </w14:textFill>
        </w:rPr>
        <w:t>德智体美劳全面发展</w:t>
      </w:r>
      <w:r>
        <w:rPr>
          <w:rFonts w:hint="eastAsia" w:ascii="宋体" w:hAnsi="宋体" w:cs="Arial"/>
          <w:color w:val="000000" w:themeColor="text1"/>
          <w:kern w:val="0"/>
          <w:sz w:val="24"/>
          <w:lang w:eastAsia="zh-CN"/>
          <w14:textFill>
            <w14:solidFill>
              <w14:schemeClr w14:val="tx1"/>
            </w14:solidFill>
          </w14:textFill>
        </w:rPr>
        <w:t>，</w:t>
      </w:r>
      <w:r>
        <w:rPr>
          <w:rFonts w:hint="eastAsia" w:ascii="宋体" w:hAnsi="宋体" w:cs="Arial"/>
          <w:color w:val="000000" w:themeColor="text1"/>
          <w:kern w:val="0"/>
          <w:sz w:val="24"/>
          <w14:textFill>
            <w14:solidFill>
              <w14:schemeClr w14:val="tx1"/>
            </w14:solidFill>
          </w14:textFill>
        </w:rPr>
        <w:t>具备“以人为本、公平正义”的专业价值观和全球适应性；掌握社会医疗保障方面的理论、技术与方法等基本知识，熟悉相关政策与法规知识，具有良好的社会责任感、职业道德和人文素养，具备较强的专业技能、沟通能力、读写能力；能在以社会医疗保险部门为主的各级各类社会保障管理与经办部门、商业性保险机构、医疗卫生机构、高等院校、科研机构、跨国公司、大中型企业人力资源管理部门从事与医疗保险领域相关的管理、研究及经营工作的复合型应用人才。</w:t>
      </w:r>
    </w:p>
    <w:p>
      <w:pPr>
        <w:rPr>
          <w:rFonts w:ascii="宋体" w:hAnsi="宋体" w:cs="Arial"/>
          <w:b/>
          <w:color w:val="000000" w:themeColor="text1"/>
          <w:kern w:val="0"/>
          <w:sz w:val="24"/>
          <w14:textFill>
            <w14:solidFill>
              <w14:schemeClr w14:val="tx1"/>
            </w14:solidFill>
          </w14:textFill>
        </w:rPr>
      </w:pPr>
      <w:r>
        <w:rPr>
          <w:rFonts w:hint="eastAsia" w:ascii="宋体" w:hAnsi="宋体" w:cs="Arial"/>
          <w:b/>
          <w:color w:val="000000" w:themeColor="text1"/>
          <w:kern w:val="0"/>
          <w:sz w:val="24"/>
          <w14:textFill>
            <w14:solidFill>
              <w14:schemeClr w14:val="tx1"/>
            </w14:solidFill>
          </w14:textFill>
        </w:rPr>
        <w:t>二、培养要求</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（一）思想道德与职业素质要求</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热爱祖国、遵纪守法、能够履行作为公民的社会责任；树立科学、理性的世界观、人生观和价值观；坚守“以人为本、公平正义”的专业立场和社会责任感，愿为祖国的社会医疗保障事业和人民的幸福不懈奋斗。（1.1）</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具有良好的思想品德和职业道德，诚实守信、仁慈博爱；具有创新、创业精神；具备较广泛的社会科学理论及人文、自然科学知识；拥有全球视野，具备对多元文化和价值观的理解能力、批判能力和交流能力。（1.2）</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3．具有对自然、社会和伦理道德问题进行科学认识，理性思考的能力；具有创新思维，行动力和团队协作精神。（1.3））</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4．身心健康，体魄健全，能够履行建设祖国和保卫祖国的神圣义务。（1.4）</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（二）知识素质要求</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1．管理学、经济学、保险学的基本理念和方法。（2.1）</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2．必需的临床医学知识，以及卫生经济学、卫生事业管理学的基本理论和基本知识。（2.2）</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3．国内外以社会医疗保障为主的劳动与社会保障理论及实践的历史和现状，国内外商业医疗保险的发展状况。（2.3）</w:t>
      </w:r>
    </w:p>
    <w:p>
      <w:pPr>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．具备文献检索、资料查询、计算机应用等现代技术手段进行调查分析和实际操作的能力，能运用所学知识开展调查研究，并撰写报告和论文。（2.4）</w:t>
      </w:r>
    </w:p>
    <w:p>
      <w:pPr>
        <w:ind w:firstLine="48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5</w:t>
      </w:r>
      <w:r>
        <w:rPr>
          <w:rFonts w:hint="eastAsia" w:ascii="宋体" w:hAnsi="宋体"/>
          <w:color w:val="000000" w:themeColor="text1"/>
          <w:sz w:val="24"/>
          <w14:textFill>
            <w14:solidFill>
              <w14:schemeClr w14:val="tx1"/>
            </w14:solidFill>
          </w14:textFill>
        </w:rPr>
        <w:t>．熟练掌握一门外语，达到国家大学英语考试四级水平或通过广西医科大学本科学位英语统测，能够运用英语阅读、翻译本专业文献。（2.5）</w:t>
      </w:r>
    </w:p>
    <w:p>
      <w:pPr>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w:t>
      </w:r>
      <w:r>
        <w:rPr>
          <w:rFonts w:hint="eastAsia"/>
        </w:rPr>
        <w:t xml:space="preserve"> </w:t>
      </w:r>
      <w:r>
        <w:rPr>
          <w:rFonts w:hint="eastAsia" w:ascii="宋体" w:hAnsi="宋体"/>
          <w:color w:val="000000" w:themeColor="text1"/>
          <w:sz w:val="24"/>
          <w14:textFill>
            <w14:solidFill>
              <w14:schemeClr w14:val="tx1"/>
            </w14:solidFill>
          </w14:textFill>
        </w:rPr>
        <w:t>专业技能要求</w:t>
      </w:r>
    </w:p>
    <w:p>
      <w:pPr>
        <w:ind w:firstLine="48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．熟练掌握并运用公共事业管理方面的理论和技术。（3.1）</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r>
        <w:rPr>
          <w:rFonts w:ascii="宋体" w:hAnsi="宋体"/>
          <w:color w:val="000000" w:themeColor="text1"/>
          <w:sz w:val="24"/>
          <w14:textFill>
            <w14:solidFill>
              <w14:schemeClr w14:val="tx1"/>
            </w14:solidFill>
          </w14:textFill>
        </w:rPr>
        <w:t>.</w:t>
      </w:r>
      <w:r>
        <w:rPr>
          <w:rFonts w:hint="eastAsia"/>
        </w:rPr>
        <w:t xml:space="preserve"> </w:t>
      </w:r>
      <w:r>
        <w:rPr>
          <w:rFonts w:hint="eastAsia" w:ascii="宋体" w:hAnsi="宋体"/>
          <w:color w:val="000000" w:themeColor="text1"/>
          <w:sz w:val="24"/>
          <w14:textFill>
            <w14:solidFill>
              <w14:schemeClr w14:val="tx1"/>
            </w14:solidFill>
          </w14:textFill>
        </w:rPr>
        <w:t>社会保险与商业保险的基本知识及运行操作能力。（3.2）</w:t>
      </w:r>
    </w:p>
    <w:p>
      <w:pPr>
        <w:ind w:firstLine="48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w:t>
      </w:r>
      <w:r>
        <w:rPr>
          <w:rFonts w:hint="eastAsia"/>
          <w:sz w:val="24"/>
        </w:rPr>
        <w:t xml:space="preserve"> 具备自主学习和终生学习的能力。（3.3）</w:t>
      </w:r>
    </w:p>
    <w:p>
      <w:pPr>
        <w:rPr>
          <w:rFonts w:ascii="宋体" w:hAnsi="宋体" w:cs="Arial"/>
          <w:b/>
          <w:color w:val="000000" w:themeColor="text1"/>
          <w:kern w:val="0"/>
          <w:sz w:val="24"/>
          <w14:textFill>
            <w14:solidFill>
              <w14:schemeClr w14:val="tx1"/>
            </w14:solidFill>
          </w14:textFill>
        </w:rPr>
      </w:pPr>
      <w:r>
        <w:rPr>
          <w:rFonts w:hint="eastAsia" w:ascii="宋体" w:hAnsi="宋体" w:cs="Arial"/>
          <w:b/>
          <w:color w:val="000000" w:themeColor="text1"/>
          <w:kern w:val="0"/>
          <w:sz w:val="24"/>
          <w14:textFill>
            <w14:solidFill>
              <w14:schemeClr w14:val="tx1"/>
            </w14:solidFill>
          </w14:textFill>
        </w:rPr>
        <w:t>三、主干学科与主要课程</w:t>
      </w:r>
    </w:p>
    <w:p>
      <w:pPr>
        <w:ind w:firstLine="482"/>
        <w:rPr>
          <w:rFonts w:ascii="宋体" w:hAnsi="宋体" w:cs="宋体"/>
          <w:color w:val="000000" w:themeColor="text1"/>
          <w:kern w:val="0"/>
          <w:sz w:val="24"/>
          <w14:textFill>
            <w14:solidFill>
              <w14:schemeClr w14:val="tx1"/>
            </w14:solidFill>
          </w14:textFill>
        </w:rPr>
      </w:pPr>
      <w:r>
        <w:rPr>
          <w:rFonts w:hint="eastAsia" w:ascii="宋体" w:hAnsi="宋体" w:cs="Arial"/>
          <w:color w:val="000000" w:themeColor="text1"/>
          <w:kern w:val="0"/>
          <w:sz w:val="24"/>
          <w14:textFill>
            <w14:solidFill>
              <w14:schemeClr w14:val="tx1"/>
            </w14:solidFill>
          </w14:textFill>
        </w:rPr>
        <w:t>（一）主干学科：</w:t>
      </w:r>
      <w:r>
        <w:rPr>
          <w:rFonts w:hint="eastAsia" w:ascii="宋体" w:hAnsi="宋体" w:cs="宋体"/>
          <w:color w:val="000000" w:themeColor="text1"/>
          <w:kern w:val="0"/>
          <w:sz w:val="24"/>
          <w14:textFill>
            <w14:solidFill>
              <w14:schemeClr w14:val="tx1"/>
            </w14:solidFill>
          </w14:textFill>
        </w:rPr>
        <w:t>管理学、经济学、医学。</w:t>
      </w:r>
    </w:p>
    <w:p>
      <w:pPr>
        <w:ind w:firstLine="482"/>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（二）主要课程：</w:t>
      </w:r>
    </w:p>
    <w:p>
      <w:pPr>
        <w:ind w:firstLine="482"/>
        <w:rPr>
          <w:b/>
          <w:color w:val="000000" w:themeColor="text1"/>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计算机应用基础、高等数学、基础医学概论、临床医学概论、法医临床学、政治学原理、基础微观经济学、社会统计学（含统计软件应用）、社会保障研究方法、公共经济学、社会保障概论、公共事业管理概论、基础心理学、管理学基础、管理学专业外语、商业道德、商业与社会、公共关系学、组织行为学、公共政策、基础宏观经济学、英语议论文写作、英语公共演讲、非政府组织管理、保险学概论、社区及公共卫生、金融会计学、病案信息学、保险实务（核保与理赔）、医疗保险学、养老院的医疗管理、人力资源管理、英语学术写作、法学概论。</w:t>
      </w:r>
    </w:p>
    <w:p>
      <w:pPr>
        <w:pStyle w:val="11"/>
        <w:spacing w:before="0" w:beforeAutospacing="0" w:after="0" w:afterAutospacing="0"/>
        <w:rPr>
          <w:b/>
          <w:color w:val="000000" w:themeColor="text1"/>
          <w14:textFill>
            <w14:solidFill>
              <w14:schemeClr w14:val="tx1"/>
            </w14:solidFill>
          </w14:textFill>
        </w:rPr>
      </w:pPr>
      <w:r>
        <w:rPr>
          <w:rFonts w:hint="eastAsia"/>
          <w:b/>
          <w:color w:val="000000" w:themeColor="text1"/>
          <w14:textFill>
            <w14:solidFill>
              <w14:schemeClr w14:val="tx1"/>
            </w14:solidFill>
          </w14:textFill>
        </w:rPr>
        <w:t>四、主要实践教学环节</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（一）军事训练2周，安排在第一学期进行，计2学分。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（二）社会实践（含公益劳动）2周，计2学分。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（三）学生若在大四进入合作办学单位美国西俄勒冈大学，能按照协议及其他相关规定获得美方本科学位证，可以免除大四需要进行毕业实习（包括毕业论文）。</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学生若在大四不进入合作办学单位美国西俄勒冈大学，则转为普通本科专业，则需要进行毕业实习（包括毕业论文）</w:t>
      </w:r>
      <w:r>
        <w:rPr>
          <w:color w:val="000000" w:themeColor="text1"/>
          <w14:textFill>
            <w14:solidFill>
              <w14:schemeClr w14:val="tx1"/>
            </w14:solidFill>
          </w14:textFill>
        </w:rPr>
        <w:t>32</w:t>
      </w:r>
      <w:r>
        <w:rPr>
          <w:rFonts w:hint="eastAsia"/>
          <w:color w:val="000000" w:themeColor="text1"/>
          <w14:textFill>
            <w14:solidFill>
              <w14:schemeClr w14:val="tx1"/>
            </w14:solidFill>
          </w14:textFill>
        </w:rPr>
        <w:t>周，计</w:t>
      </w:r>
      <w:r>
        <w:rPr>
          <w:color w:val="000000" w:themeColor="text1"/>
          <w14:textFill>
            <w14:solidFill>
              <w14:schemeClr w14:val="tx1"/>
            </w14:solidFill>
          </w14:textFill>
        </w:rPr>
        <w:t>16</w:t>
      </w:r>
      <w:r>
        <w:rPr>
          <w:rFonts w:hint="eastAsia"/>
          <w:color w:val="000000" w:themeColor="text1"/>
          <w14:textFill>
            <w14:solidFill>
              <w14:schemeClr w14:val="tx1"/>
            </w14:solidFill>
          </w14:textFill>
        </w:rPr>
        <w:t>学分。其中毕业实习1</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周，8学分</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毕业论文</w:t>
      </w:r>
      <w:r>
        <w:rPr>
          <w:color w:val="000000" w:themeColor="text1"/>
          <w14:textFill>
            <w14:solidFill>
              <w14:schemeClr w14:val="tx1"/>
            </w14:solidFill>
          </w14:textFill>
        </w:rPr>
        <w:t>16</w:t>
      </w:r>
      <w:r>
        <w:rPr>
          <w:rFonts w:hint="eastAsia"/>
          <w:color w:val="000000" w:themeColor="text1"/>
          <w14:textFill>
            <w14:solidFill>
              <w14:schemeClr w14:val="tx1"/>
            </w14:solidFill>
          </w14:textFill>
        </w:rPr>
        <w:t>周，8学分。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（四）创新创业素质拓展，3学分。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1.主持并完成“大学生创新创业训练计划项目”或“未来学术之星”等科研项目的，每项3学分；参与以上项目的，每项1.5学分；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2.主持“互联网+”大学生创新创业大赛项目，报名成功并进入校级比赛的，每项</w:t>
      </w:r>
    </w:p>
    <w:p>
      <w:pPr>
        <w:pStyle w:val="11"/>
        <w:spacing w:before="0" w:beforeAutospacing="0" w:after="0" w:afterAutospacing="0"/>
        <w:rPr>
          <w:color w:val="000000" w:themeColor="text1"/>
          <w14:textFill>
            <w14:solidFill>
              <w14:schemeClr w14:val="tx1"/>
            </w14:solidFill>
          </w14:textFill>
        </w:rPr>
      </w:pPr>
      <w:r>
        <w:rPr>
          <w:rFonts w:hint="eastAsia"/>
          <w:color w:val="000000" w:themeColor="text1"/>
          <w14:textFill>
            <w14:solidFill>
              <w14:schemeClr w14:val="tx1"/>
            </w14:solidFill>
          </w14:textFill>
        </w:rPr>
        <w:t>3学分；参与该项目的，每项1.5学分；</w:t>
      </w:r>
    </w:p>
    <w:p>
      <w:pPr>
        <w:pStyle w:val="11"/>
        <w:spacing w:before="0" w:beforeAutospacing="0" w:after="0" w:afterAutospacing="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五</w:t>
      </w:r>
      <w:r>
        <w:rPr>
          <w:rStyle w:val="15"/>
          <w:color w:val="000000" w:themeColor="text1"/>
          <w14:textFill>
            <w14:solidFill>
              <w14:schemeClr w14:val="tx1"/>
            </w14:solidFill>
          </w14:textFill>
        </w:rPr>
        <w:t>、课程设置</w:t>
      </w:r>
    </w:p>
    <w:p>
      <w:pPr>
        <w:pStyle w:val="11"/>
        <w:spacing w:before="0" w:beforeAutospacing="0" w:after="0" w:afterAutospacing="0"/>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（一）必修课程（共</w:t>
      </w:r>
      <w:r>
        <w:rPr>
          <w:rFonts w:cs="宋体"/>
          <w:color w:val="000000" w:themeColor="text1"/>
          <w14:textFill>
            <w14:solidFill>
              <w14:schemeClr w14:val="tx1"/>
            </w14:solidFill>
          </w14:textFill>
        </w:rPr>
        <w:t>43</w:t>
      </w:r>
      <w:r>
        <w:rPr>
          <w:rFonts w:hint="eastAsia" w:cs="宋体"/>
          <w:color w:val="000000" w:themeColor="text1"/>
          <w14:textFill>
            <w14:solidFill>
              <w14:schemeClr w14:val="tx1"/>
            </w14:solidFill>
          </w14:textFill>
        </w:rPr>
        <w:t>门、</w:t>
      </w:r>
      <w:r>
        <w:rPr>
          <w:rFonts w:cs="宋体"/>
          <w:color w:val="000000" w:themeColor="text1"/>
          <w14:textFill>
            <w14:solidFill>
              <w14:schemeClr w14:val="tx1"/>
            </w14:solidFill>
          </w14:textFill>
        </w:rPr>
        <w:t>2</w:t>
      </w:r>
      <w:r>
        <w:rPr>
          <w:rFonts w:hint="eastAsia" w:cs="宋体"/>
          <w:color w:val="000000" w:themeColor="text1"/>
          <w14:textFill>
            <w14:solidFill>
              <w14:schemeClr w14:val="tx1"/>
            </w14:solidFill>
          </w14:textFill>
        </w:rPr>
        <w:t>114学时、</w:t>
      </w:r>
      <w:r>
        <w:rPr>
          <w:rFonts w:cs="宋体"/>
          <w:color w:val="000000" w:themeColor="text1"/>
          <w14:textFill>
            <w14:solidFill>
              <w14:schemeClr w14:val="tx1"/>
            </w14:solidFill>
          </w14:textFill>
        </w:rPr>
        <w:t>1</w:t>
      </w:r>
      <w:r>
        <w:rPr>
          <w:rFonts w:hint="eastAsia" w:cs="宋体"/>
          <w:color w:val="000000" w:themeColor="text1"/>
          <w14:textFill>
            <w14:solidFill>
              <w14:schemeClr w14:val="tx1"/>
            </w14:solidFill>
          </w14:textFill>
        </w:rPr>
        <w:t>05学分）</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（二）限选课程（16学分）</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hint="eastAsia" w:ascii="宋体" w:cs="宋体"/>
          <w:color w:val="000000" w:themeColor="text1"/>
          <w:kern w:val="0"/>
          <w:sz w:val="24"/>
          <w14:textFill>
            <w14:solidFill>
              <w14:schemeClr w14:val="tx1"/>
            </w14:solidFill>
          </w14:textFill>
        </w:rPr>
        <w:t>（三）任选课（12学分）</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hAnsi="宋体" w:cs="宋体"/>
          <w:sz w:val="24"/>
        </w:rPr>
        <w:t>公共艺术类课程须修读2学分</w:t>
      </w:r>
      <w:r>
        <w:rPr>
          <w:rFonts w:hint="eastAsia" w:ascii="宋体" w:hAnsi="宋体" w:cs="宋体"/>
          <w:sz w:val="24"/>
        </w:rPr>
        <w:t>及</w:t>
      </w:r>
      <w:r>
        <w:rPr>
          <w:rFonts w:ascii="宋体" w:hAnsi="宋体" w:cs="宋体"/>
          <w:sz w:val="24"/>
        </w:rPr>
        <w:t>以上。</w:t>
      </w:r>
      <w:r>
        <w:rPr>
          <w:rFonts w:hint="eastAsia" w:ascii="宋体" w:cs="宋体"/>
          <w:color w:val="000000" w:themeColor="text1"/>
          <w:kern w:val="0"/>
          <w:sz w:val="24"/>
          <w14:textFill>
            <w14:solidFill>
              <w14:schemeClr w14:val="tx1"/>
            </w14:solidFill>
          </w14:textFill>
        </w:rPr>
        <w:t>参加《普通话》任选课学习并通过考试或执行参见普通话水平测试分数达到二级乙等（</w:t>
      </w:r>
      <w:r>
        <w:rPr>
          <w:rFonts w:ascii="宋体" w:cs="宋体"/>
          <w:color w:val="000000" w:themeColor="text1"/>
          <w:kern w:val="0"/>
          <w:sz w:val="24"/>
          <w14:textFill>
            <w14:solidFill>
              <w14:schemeClr w14:val="tx1"/>
            </w14:solidFill>
          </w14:textFill>
        </w:rPr>
        <w:t>80</w:t>
      </w:r>
      <w:r>
        <w:rPr>
          <w:rFonts w:hint="eastAsia" w:ascii="宋体" w:cs="宋体"/>
          <w:color w:val="000000" w:themeColor="text1"/>
          <w:kern w:val="0"/>
          <w:sz w:val="24"/>
          <w14:textFill>
            <w14:solidFill>
              <w14:schemeClr w14:val="tx1"/>
            </w14:solidFill>
          </w14:textFill>
        </w:rPr>
        <w:t>分）及以上，可计</w:t>
      </w: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学分；根据《广西医科大学本科生课外素质教育奖励学分管理办法》，奖励学分可作为任选课学分记载，但不得超过任选课学分的</w:t>
      </w:r>
      <w:r>
        <w:rPr>
          <w:rFonts w:ascii="宋体" w:cs="宋体"/>
          <w:color w:val="000000" w:themeColor="text1"/>
          <w:kern w:val="0"/>
          <w:sz w:val="24"/>
          <w14:textFill>
            <w14:solidFill>
              <w14:schemeClr w14:val="tx1"/>
            </w14:solidFill>
          </w14:textFill>
        </w:rPr>
        <w:t>50%</w:t>
      </w:r>
      <w:r>
        <w:rPr>
          <w:rFonts w:hint="eastAsia" w:ascii="宋体" w:cs="宋体"/>
          <w:color w:val="000000" w:themeColor="text1"/>
          <w:kern w:val="0"/>
          <w:sz w:val="24"/>
          <w14:textFill>
            <w14:solidFill>
              <w14:schemeClr w14:val="tx1"/>
            </w14:solidFill>
          </w14:textFill>
        </w:rPr>
        <w:t>。</w:t>
      </w:r>
    </w:p>
    <w:p>
      <w:pPr>
        <w:autoSpaceDE w:val="0"/>
        <w:autoSpaceDN w:val="0"/>
        <w:adjustRightInd w:val="0"/>
        <w:ind w:firstLine="480" w:firstLineChars="200"/>
        <w:jc w:val="left"/>
        <w:rPr>
          <w:rFonts w:cs="宋体"/>
          <w:color w:val="000000" w:themeColor="text1"/>
          <w14:textFill>
            <w14:solidFill>
              <w14:schemeClr w14:val="tx1"/>
            </w14:solidFill>
          </w14:textFill>
        </w:rPr>
      </w:pPr>
      <w:r>
        <w:rPr>
          <w:rFonts w:hint="eastAsia" w:ascii="宋体" w:cs="宋体"/>
          <w:color w:val="000000" w:themeColor="text1"/>
          <w:kern w:val="0"/>
          <w:sz w:val="24"/>
          <w14:textFill>
            <w14:solidFill>
              <w14:schemeClr w14:val="tx1"/>
            </w14:solidFill>
          </w14:textFill>
        </w:rPr>
        <w:t>学生若在大四转为广西医科大学公共事业管理（社会医疗保障）普通本科专业，则需要进行毕业实习及毕业论文：共</w:t>
      </w:r>
      <w:r>
        <w:rPr>
          <w:rFonts w:ascii="宋体" w:cs="宋体"/>
          <w:color w:val="000000" w:themeColor="text1"/>
          <w:kern w:val="0"/>
          <w:sz w:val="24"/>
          <w14:textFill>
            <w14:solidFill>
              <w14:schemeClr w14:val="tx1"/>
            </w14:solidFill>
          </w14:textFill>
        </w:rPr>
        <w:t>32</w:t>
      </w:r>
      <w:r>
        <w:rPr>
          <w:rFonts w:hint="eastAsia" w:ascii="宋体" w:cs="宋体"/>
          <w:color w:val="000000" w:themeColor="text1"/>
          <w:kern w:val="0"/>
          <w:sz w:val="24"/>
          <w14:textFill>
            <w14:solidFill>
              <w14:schemeClr w14:val="tx1"/>
            </w14:solidFill>
          </w14:textFill>
        </w:rPr>
        <w:t>周，</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学分。其中毕业实习</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周，毕业论文</w:t>
      </w:r>
      <w:r>
        <w:rPr>
          <w:rFonts w:ascii="宋体" w:cs="宋体"/>
          <w:color w:val="000000" w:themeColor="text1"/>
          <w:kern w:val="0"/>
          <w:sz w:val="24"/>
          <w14:textFill>
            <w14:solidFill>
              <w14:schemeClr w14:val="tx1"/>
            </w14:solidFill>
          </w14:textFill>
        </w:rPr>
        <w:t>16</w:t>
      </w:r>
      <w:r>
        <w:rPr>
          <w:rFonts w:hint="eastAsia" w:ascii="宋体" w:cs="宋体"/>
          <w:color w:val="000000" w:themeColor="text1"/>
          <w:kern w:val="0"/>
          <w:sz w:val="24"/>
          <w14:textFill>
            <w14:solidFill>
              <w14:schemeClr w14:val="tx1"/>
            </w14:solidFill>
          </w14:textFill>
        </w:rPr>
        <w:t>周。</w:t>
      </w:r>
    </w:p>
    <w:p>
      <w:pPr>
        <w:pStyle w:val="11"/>
        <w:spacing w:before="0" w:beforeAutospacing="0" w:after="0" w:afterAutospacing="0"/>
        <w:ind w:firstLine="472" w:firstLineChars="197"/>
        <w:rPr>
          <w:color w:val="000000" w:themeColor="text1"/>
          <w14:textFill>
            <w14:solidFill>
              <w14:schemeClr w14:val="tx1"/>
            </w14:solidFill>
          </w14:textFill>
        </w:rPr>
      </w:pPr>
      <w:r>
        <w:rPr>
          <w:rFonts w:hint="eastAsia"/>
          <w:color w:val="000000" w:themeColor="text1"/>
          <w14:textFill>
            <w14:solidFill>
              <w14:schemeClr w14:val="tx1"/>
            </w14:solidFill>
          </w14:textFill>
        </w:rPr>
        <w:t>（五）社会实践：</w:t>
      </w:r>
      <w:bookmarkStart w:id="0" w:name="_Hlk115171414"/>
      <w:r>
        <w:rPr>
          <w:rFonts w:hint="eastAsia"/>
          <w:color w:val="000000" w:themeColor="text1"/>
          <w14:textFill>
            <w14:solidFill>
              <w14:schemeClr w14:val="tx1"/>
            </w14:solidFill>
          </w14:textFill>
        </w:rPr>
        <w:t>共</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周，</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学分。</w:t>
      </w:r>
      <w:bookmarkEnd w:id="0"/>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1</w:t>
      </w:r>
      <w:r>
        <w:rPr>
          <w:rStyle w:val="15"/>
          <w:rFonts w:ascii="宋体" w:hAnsi="宋体"/>
          <w:b w:val="0"/>
          <w:color w:val="000000" w:themeColor="text1"/>
          <w:sz w:val="24"/>
          <w14:textFill>
            <w14:solidFill>
              <w14:schemeClr w14:val="tx1"/>
            </w14:solidFill>
          </w14:textFill>
        </w:rPr>
        <w:t>.</w:t>
      </w:r>
      <w:r>
        <w:rPr>
          <w:rStyle w:val="15"/>
          <w:rFonts w:hint="eastAsia" w:ascii="宋体" w:hAnsi="宋体"/>
          <w:b w:val="0"/>
          <w:color w:val="000000" w:themeColor="text1"/>
          <w:sz w:val="24"/>
          <w14:textFill>
            <w14:solidFill>
              <w14:schemeClr w14:val="tx1"/>
            </w14:solidFill>
          </w14:textFill>
        </w:rPr>
        <w:t>假期</w:t>
      </w:r>
      <w:r>
        <w:rPr>
          <w:rStyle w:val="15"/>
          <w:rFonts w:ascii="宋体" w:hAnsi="宋体"/>
          <w:b w:val="0"/>
          <w:color w:val="000000" w:themeColor="text1"/>
          <w:sz w:val="24"/>
          <w14:textFill>
            <w14:solidFill>
              <w14:schemeClr w14:val="tx1"/>
            </w14:solidFill>
          </w14:textFill>
        </w:rPr>
        <w:t>社会实践</w:t>
      </w:r>
      <w:r>
        <w:rPr>
          <w:rStyle w:val="15"/>
          <w:rFonts w:hint="eastAsia" w:ascii="宋体" w:hAnsi="宋体"/>
          <w:b w:val="0"/>
          <w:color w:val="000000" w:themeColor="text1"/>
          <w:sz w:val="24"/>
          <w14:textFill>
            <w14:solidFill>
              <w14:schemeClr w14:val="tx1"/>
            </w14:solidFill>
          </w14:textFill>
        </w:rPr>
        <w:t>：</w:t>
      </w:r>
      <w:r>
        <w:rPr>
          <w:rStyle w:val="15"/>
          <w:rFonts w:ascii="宋体" w:hAnsi="宋体"/>
          <w:b w:val="0"/>
          <w:color w:val="000000" w:themeColor="text1"/>
          <w:sz w:val="24"/>
          <w14:textFill>
            <w14:solidFill>
              <w14:schemeClr w14:val="tx1"/>
            </w14:solidFill>
          </w14:textFill>
        </w:rPr>
        <w:t>寒暑</w:t>
      </w:r>
      <w:r>
        <w:rPr>
          <w:rStyle w:val="15"/>
          <w:rFonts w:hint="eastAsia" w:ascii="宋体" w:hAnsi="宋体"/>
          <w:b w:val="0"/>
          <w:color w:val="000000" w:themeColor="text1"/>
          <w:sz w:val="24"/>
          <w14:textFill>
            <w14:solidFill>
              <w14:schemeClr w14:val="tx1"/>
            </w14:solidFill>
          </w14:textFill>
        </w:rPr>
        <w:t>假</w:t>
      </w:r>
      <w:r>
        <w:rPr>
          <w:rStyle w:val="15"/>
          <w:rFonts w:ascii="宋体" w:hAnsi="宋体"/>
          <w:b w:val="0"/>
          <w:color w:val="000000" w:themeColor="text1"/>
          <w:sz w:val="24"/>
          <w14:textFill>
            <w14:solidFill>
              <w14:schemeClr w14:val="tx1"/>
            </w14:solidFill>
          </w14:textFill>
        </w:rPr>
        <w:t>社会实践</w:t>
      </w:r>
      <w:r>
        <w:rPr>
          <w:rStyle w:val="15"/>
          <w:rFonts w:hint="eastAsia" w:ascii="宋体" w:hAnsi="宋体"/>
          <w:b w:val="0"/>
          <w:color w:val="000000" w:themeColor="text1"/>
          <w:sz w:val="24"/>
          <w14:textFill>
            <w14:solidFill>
              <w14:schemeClr w14:val="tx1"/>
            </w14:solidFill>
          </w14:textFill>
        </w:rPr>
        <w:t>，36学时（1周）计1学分。</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2</w:t>
      </w:r>
      <w:r>
        <w:rPr>
          <w:rStyle w:val="15"/>
          <w:rFonts w:ascii="宋体" w:hAnsi="宋体"/>
          <w:b w:val="0"/>
          <w:color w:val="000000" w:themeColor="text1"/>
          <w:sz w:val="24"/>
          <w14:textFill>
            <w14:solidFill>
              <w14:schemeClr w14:val="tx1"/>
            </w14:solidFill>
          </w14:textFill>
        </w:rPr>
        <w:t>.</w:t>
      </w:r>
      <w:r>
        <w:rPr>
          <w:rStyle w:val="15"/>
          <w:rFonts w:hint="eastAsia" w:ascii="宋体" w:hAnsi="宋体"/>
          <w:b w:val="0"/>
          <w:color w:val="000000" w:themeColor="text1"/>
          <w:sz w:val="24"/>
          <w14:textFill>
            <w14:solidFill>
              <w14:schemeClr w14:val="tx1"/>
            </w14:solidFill>
          </w14:textFill>
        </w:rPr>
        <w:t>志愿</w:t>
      </w:r>
      <w:r>
        <w:rPr>
          <w:rStyle w:val="15"/>
          <w:rFonts w:ascii="宋体" w:hAnsi="宋体"/>
          <w:b w:val="0"/>
          <w:color w:val="000000" w:themeColor="text1"/>
          <w:sz w:val="24"/>
          <w14:textFill>
            <w14:solidFill>
              <w14:schemeClr w14:val="tx1"/>
            </w14:solidFill>
          </w14:textFill>
        </w:rPr>
        <w:t>服务：校内外志愿服务活动，</w:t>
      </w:r>
      <w:r>
        <w:rPr>
          <w:rStyle w:val="15"/>
          <w:rFonts w:hint="eastAsia" w:ascii="宋体" w:hAnsi="宋体"/>
          <w:b w:val="0"/>
          <w:color w:val="000000" w:themeColor="text1"/>
          <w:sz w:val="24"/>
          <w14:textFill>
            <w14:solidFill>
              <w14:schemeClr w14:val="tx1"/>
            </w14:solidFill>
          </w14:textFill>
        </w:rPr>
        <w:t>36学时（1周）计1学分。</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单项或者</w:t>
      </w:r>
      <w:r>
        <w:rPr>
          <w:rStyle w:val="15"/>
          <w:rFonts w:ascii="宋体" w:hAnsi="宋体"/>
          <w:b w:val="0"/>
          <w:color w:val="000000" w:themeColor="text1"/>
          <w:sz w:val="24"/>
          <w14:textFill>
            <w14:solidFill>
              <w14:schemeClr w14:val="tx1"/>
            </w14:solidFill>
          </w14:textFill>
        </w:rPr>
        <w:t>两项累计学分满</w:t>
      </w:r>
      <w:r>
        <w:rPr>
          <w:rStyle w:val="15"/>
          <w:rFonts w:hint="eastAsia" w:ascii="宋体" w:hAnsi="宋体"/>
          <w:b w:val="0"/>
          <w:color w:val="000000" w:themeColor="text1"/>
          <w:sz w:val="24"/>
          <w14:textFill>
            <w14:solidFill>
              <w14:schemeClr w14:val="tx1"/>
            </w14:solidFill>
          </w14:textFill>
        </w:rPr>
        <w:t>2学分</w:t>
      </w:r>
      <w:r>
        <w:rPr>
          <w:rStyle w:val="15"/>
          <w:rFonts w:ascii="宋体" w:hAnsi="宋体"/>
          <w:b w:val="0"/>
          <w:color w:val="000000" w:themeColor="text1"/>
          <w:sz w:val="24"/>
          <w14:textFill>
            <w14:solidFill>
              <w14:schemeClr w14:val="tx1"/>
            </w14:solidFill>
          </w14:textFill>
        </w:rPr>
        <w:t>者，计</w:t>
      </w:r>
      <w:r>
        <w:rPr>
          <w:rStyle w:val="15"/>
          <w:rFonts w:hint="eastAsia" w:ascii="宋体" w:hAnsi="宋体"/>
          <w:b w:val="0"/>
          <w:color w:val="000000" w:themeColor="text1"/>
          <w:sz w:val="24"/>
          <w14:textFill>
            <w14:solidFill>
              <w14:schemeClr w14:val="tx1"/>
            </w14:solidFill>
          </w14:textFill>
        </w:rPr>
        <w:t>2学分</w:t>
      </w:r>
      <w:r>
        <w:rPr>
          <w:rStyle w:val="15"/>
          <w:rFonts w:ascii="宋体" w:hAnsi="宋体"/>
          <w:b w:val="0"/>
          <w:color w:val="000000" w:themeColor="text1"/>
          <w:sz w:val="24"/>
          <w14:textFill>
            <w14:solidFill>
              <w14:schemeClr w14:val="tx1"/>
            </w14:solidFill>
          </w14:textFill>
        </w:rPr>
        <w:t>。</w:t>
      </w:r>
    </w:p>
    <w:p>
      <w:pPr>
        <w:pStyle w:val="7"/>
        <w:spacing w:after="0" w:line="240" w:lineRule="auto"/>
        <w:ind w:left="0" w:leftChars="0" w:firstLine="480" w:firstLineChars="200"/>
        <w:rPr>
          <w:rStyle w:val="15"/>
          <w:rFonts w:ascii="宋体" w:hAnsi="宋体"/>
          <w:b w:val="0"/>
          <w:color w:val="000000" w:themeColor="text1"/>
          <w:sz w:val="24"/>
          <w14:textFill>
            <w14:solidFill>
              <w14:schemeClr w14:val="tx1"/>
            </w14:solidFill>
          </w14:textFill>
        </w:rPr>
      </w:pPr>
      <w:r>
        <w:rPr>
          <w:rStyle w:val="15"/>
          <w:rFonts w:hint="eastAsia" w:ascii="宋体" w:hAnsi="宋体"/>
          <w:b w:val="0"/>
          <w:color w:val="000000" w:themeColor="text1"/>
          <w:sz w:val="24"/>
          <w14:textFill>
            <w14:solidFill>
              <w14:schemeClr w14:val="tx1"/>
            </w14:solidFill>
          </w14:textFill>
        </w:rPr>
        <w:t>（六）军事技能：共2周，2学分。</w:t>
      </w: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六</w:t>
      </w:r>
      <w:r>
        <w:rPr>
          <w:rStyle w:val="15"/>
          <w:color w:val="000000" w:themeColor="text1"/>
          <w14:textFill>
            <w14:solidFill>
              <w14:schemeClr w14:val="tx1"/>
            </w14:solidFill>
          </w14:textFill>
        </w:rPr>
        <w:t>、</w:t>
      </w:r>
      <w:r>
        <w:rPr>
          <w:rStyle w:val="15"/>
          <w:rFonts w:hint="eastAsia"/>
          <w:color w:val="000000" w:themeColor="text1"/>
          <w14:textFill>
            <w14:solidFill>
              <w14:schemeClr w14:val="tx1"/>
            </w14:solidFill>
          </w14:textFill>
        </w:rPr>
        <w:t xml:space="preserve">学制及修业年限   </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（一）基本学制：4年</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（二）修业年限：4～7年</w:t>
      </w:r>
    </w:p>
    <w:p>
      <w:pPr>
        <w:pStyle w:val="11"/>
        <w:spacing w:before="0" w:beforeAutospacing="0" w:after="0" w:afterAutospacing="0"/>
        <w:ind w:firstLine="480" w:firstLineChars="200"/>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（三）各学年时间分配（表1）</w:t>
      </w:r>
    </w:p>
    <w:p>
      <w:pPr>
        <w:jc w:val="center"/>
        <w:rPr>
          <w:rStyle w:val="15"/>
          <w:rFonts w:hint="eastAsia" w:ascii="宋体" w:hAnsi="宋体" w:eastAsia="宋体" w:cs="宋体"/>
          <w:b w:val="0"/>
          <w:bCs w:val="0"/>
          <w:color w:val="000000" w:themeColor="text1"/>
          <w:sz w:val="24"/>
          <w:szCs w:val="24"/>
          <w:lang w:val="en-US" w:eastAsia="zh-CN"/>
          <w14:textFill>
            <w14:solidFill>
              <w14:schemeClr w14:val="tx1"/>
            </w14:solidFill>
          </w14:textFill>
        </w:rPr>
      </w:pPr>
      <w:r>
        <w:rPr>
          <w:rStyle w:val="19"/>
          <w:rFonts w:hint="eastAsia" w:ascii="宋体" w:hAnsi="宋体" w:eastAsia="宋体" w:cs="宋体"/>
          <w:b w:val="0"/>
          <w:bCs w:val="0"/>
          <w:color w:val="000000" w:themeColor="text1"/>
          <w:sz w:val="24"/>
          <w:szCs w:val="24"/>
          <w14:textFill>
            <w14:solidFill>
              <w14:schemeClr w14:val="tx1"/>
            </w14:solidFill>
          </w14:textFill>
        </w:rPr>
        <w:t>四年制公共事业管理专业（社会医疗保障方向）中外合作办学项目</w:t>
      </w:r>
    </w:p>
    <w:tbl>
      <w:tblPr>
        <w:tblStyle w:val="12"/>
        <w:tblW w:w="8789"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5"/>
        <w:gridCol w:w="853"/>
        <w:gridCol w:w="1365"/>
        <w:gridCol w:w="1470"/>
        <w:gridCol w:w="848"/>
        <w:gridCol w:w="1134"/>
        <w:gridCol w:w="1134"/>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学年</w:t>
            </w:r>
          </w:p>
        </w:tc>
        <w:tc>
          <w:tcPr>
            <w:tcW w:w="853" w:type="dxa"/>
            <w:tcBorders>
              <w:top w:val="single" w:color="000000" w:sz="4" w:space="0"/>
              <w:bottom w:val="single" w:color="000000" w:sz="4" w:space="0"/>
            </w:tcBorders>
          </w:tcPr>
          <w:p>
            <w:pPr>
              <w:pStyle w:val="11"/>
              <w:spacing w:before="0" w:beforeAutospacing="0" w:after="0" w:afterAutospacing="0"/>
              <w:ind w:firstLine="117" w:firstLineChars="49"/>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教学</w:t>
            </w:r>
          </w:p>
        </w:tc>
        <w:tc>
          <w:tcPr>
            <w:tcW w:w="1365" w:type="dxa"/>
            <w:tcBorders>
              <w:top w:val="single" w:color="000000" w:sz="4" w:space="0"/>
              <w:bottom w:val="single" w:color="000000" w:sz="4" w:space="0"/>
            </w:tcBorders>
          </w:tcPr>
          <w:p>
            <w:pPr>
              <w:pStyle w:val="11"/>
              <w:spacing w:before="0" w:beforeAutospacing="0" w:after="0" w:afterAutospacing="0"/>
              <w:ind w:firstLine="235" w:firstLineChars="98"/>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考试</w:t>
            </w:r>
          </w:p>
        </w:tc>
        <w:tc>
          <w:tcPr>
            <w:tcW w:w="1470"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毕业实习</w:t>
            </w:r>
          </w:p>
        </w:tc>
        <w:tc>
          <w:tcPr>
            <w:tcW w:w="848"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机动</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假期</w:t>
            </w:r>
          </w:p>
        </w:tc>
        <w:tc>
          <w:tcPr>
            <w:tcW w:w="1134" w:type="dxa"/>
            <w:tcBorders>
              <w:top w:val="single" w:color="000000" w:sz="4" w:space="0"/>
              <w:bottom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合计</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Borders>
              <w:top w:val="single" w:color="000000" w:sz="4" w:space="0"/>
            </w:tcBorders>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一</w:t>
            </w:r>
          </w:p>
        </w:tc>
        <w:tc>
          <w:tcPr>
            <w:tcW w:w="853"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31</w:t>
            </w:r>
          </w:p>
        </w:tc>
        <w:tc>
          <w:tcPr>
            <w:tcW w:w="1365"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w:t>
            </w:r>
          </w:p>
        </w:tc>
        <w:tc>
          <w:tcPr>
            <w:tcW w:w="1134"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Borders>
              <w:top w:val="single" w:color="000000" w:sz="4" w:space="0"/>
            </w:tcBorders>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二</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32</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三</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32</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p>
        </w:tc>
        <w:tc>
          <w:tcPr>
            <w:tcW w:w="1470"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14</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52</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四</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470"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32</w:t>
            </w:r>
          </w:p>
        </w:tc>
        <w:tc>
          <w:tcPr>
            <w:tcW w:w="848"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134"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34</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985" w:type="dxa"/>
          </w:tcPr>
          <w:p>
            <w:pPr>
              <w:pStyle w:val="11"/>
              <w:spacing w:before="0" w:beforeAutospacing="0" w:after="0" w:afterAutospacing="0"/>
              <w:jc w:val="center"/>
              <w:rPr>
                <w:rStyle w:val="15"/>
                <w:b w:val="0"/>
                <w:color w:val="000000" w:themeColor="text1"/>
                <w14:textFill>
                  <w14:solidFill>
                    <w14:schemeClr w14:val="tx1"/>
                  </w14:solidFill>
                </w14:textFill>
              </w:rPr>
            </w:pPr>
            <w:r>
              <w:rPr>
                <w:rStyle w:val="15"/>
                <w:rFonts w:hint="eastAsia"/>
                <w:b w:val="0"/>
                <w:color w:val="000000" w:themeColor="text1"/>
                <w14:textFill>
                  <w14:solidFill>
                    <w14:schemeClr w14:val="tx1"/>
                  </w14:solidFill>
                </w14:textFill>
              </w:rPr>
              <w:t>合计（不出国）</w:t>
            </w:r>
          </w:p>
        </w:tc>
        <w:tc>
          <w:tcPr>
            <w:tcW w:w="853"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95</w:t>
            </w:r>
          </w:p>
        </w:tc>
        <w:tc>
          <w:tcPr>
            <w:tcW w:w="1365"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12</w:t>
            </w:r>
          </w:p>
        </w:tc>
        <w:tc>
          <w:tcPr>
            <w:tcW w:w="1470"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32</w:t>
            </w:r>
          </w:p>
        </w:tc>
        <w:tc>
          <w:tcPr>
            <w:tcW w:w="848"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9</w:t>
            </w:r>
          </w:p>
        </w:tc>
        <w:tc>
          <w:tcPr>
            <w:tcW w:w="1134" w:type="dxa"/>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w:t>
            </w:r>
            <w:r>
              <w:rPr>
                <w:rFonts w:ascii="宋体" w:hAnsi="宋体"/>
                <w:color w:val="000000" w:themeColor="text1"/>
                <w:sz w:val="24"/>
                <w14:textFill>
                  <w14:solidFill>
                    <w14:schemeClr w14:val="tx1"/>
                  </w14:solidFill>
                </w14:textFill>
              </w:rPr>
              <w:t>2</w:t>
            </w:r>
          </w:p>
        </w:tc>
        <w:tc>
          <w:tcPr>
            <w:tcW w:w="1134" w:type="dxa"/>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190</w:t>
            </w:r>
          </w:p>
        </w:tc>
      </w:tr>
    </w:tbl>
    <w:p>
      <w:pPr>
        <w:pStyle w:val="11"/>
        <w:spacing w:before="0" w:beforeAutospacing="0" w:after="0" w:afterAutospacing="0"/>
        <w:rPr>
          <w:rStyle w:val="15"/>
          <w:color w:val="000000" w:themeColor="text1"/>
          <w14:textFill>
            <w14:solidFill>
              <w14:schemeClr w14:val="tx1"/>
            </w14:solidFill>
          </w14:textFill>
        </w:rPr>
      </w:pPr>
      <w:r>
        <w:rPr>
          <w:rFonts w:hint="eastAsia" w:cs="宋体"/>
          <w:color w:val="000000" w:themeColor="text1"/>
          <w:sz w:val="21"/>
          <w:szCs w:val="21"/>
          <w14:textFill>
            <w14:solidFill>
              <w14:schemeClr w14:val="tx1"/>
            </w14:solidFill>
          </w14:textFill>
        </w:rPr>
        <w:t>※社会实践</w:t>
      </w:r>
      <w:r>
        <w:rPr>
          <w:rFonts w:cs="宋体"/>
          <w:color w:val="000000" w:themeColor="text1"/>
          <w:sz w:val="21"/>
          <w:szCs w:val="21"/>
          <w14:textFill>
            <w14:solidFill>
              <w14:schemeClr w14:val="tx1"/>
            </w14:solidFill>
          </w14:textFill>
        </w:rPr>
        <w:t>2</w:t>
      </w:r>
      <w:r>
        <w:rPr>
          <w:rFonts w:hint="eastAsia" w:cs="宋体"/>
          <w:color w:val="000000" w:themeColor="text1"/>
          <w:sz w:val="21"/>
          <w:szCs w:val="21"/>
          <w14:textFill>
            <w14:solidFill>
              <w14:schemeClr w14:val="tx1"/>
            </w14:solidFill>
          </w14:textFill>
        </w:rPr>
        <w:t>周，由校团委作统一部署，机动含军训、社会实践、现场教学、毕业考试等其他环节。</w:t>
      </w:r>
    </w:p>
    <w:p>
      <w:pPr>
        <w:pStyle w:val="11"/>
        <w:spacing w:before="0" w:beforeAutospacing="0" w:after="0" w:afterAutospacing="0"/>
        <w:rPr>
          <w:rStyle w:val="15"/>
          <w:color w:val="000000" w:themeColor="text1"/>
          <w14:textFill>
            <w14:solidFill>
              <w14:schemeClr w14:val="tx1"/>
            </w14:solidFill>
          </w14:textFill>
        </w:rPr>
      </w:pPr>
    </w:p>
    <w:p>
      <w:pPr>
        <w:pStyle w:val="11"/>
        <w:spacing w:before="0" w:beforeAutospacing="0" w:after="0" w:afterAutospacing="0"/>
        <w:rPr>
          <w:rStyle w:val="15"/>
          <w:color w:val="000000" w:themeColor="text1"/>
          <w14:textFill>
            <w14:solidFill>
              <w14:schemeClr w14:val="tx1"/>
            </w14:solidFill>
          </w14:textFill>
        </w:rPr>
      </w:pPr>
      <w:r>
        <w:rPr>
          <w:rStyle w:val="15"/>
          <w:rFonts w:hint="eastAsia"/>
          <w:color w:val="000000" w:themeColor="text1"/>
          <w14:textFill>
            <w14:solidFill>
              <w14:schemeClr w14:val="tx1"/>
            </w14:solidFill>
          </w14:textFill>
        </w:rPr>
        <w:t>七、毕业与学位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、在缴清前三学年学费后，可申请转为我校公共事业管理（社会医疗保障方向）本科专业继续完成最后一年的学习。学生在学校规定的修业年限内，</w:t>
      </w:r>
      <w:bookmarkStart w:id="1" w:name="_GoBack"/>
      <w:bookmarkEnd w:id="1"/>
      <w:r>
        <w:rPr>
          <w:rFonts w:hint="eastAsia" w:ascii="宋体" w:cs="宋体"/>
          <w:color w:val="000000" w:themeColor="text1"/>
          <w:kern w:val="0"/>
          <w:sz w:val="24"/>
          <w14:textFill>
            <w14:solidFill>
              <w14:schemeClr w14:val="tx1"/>
            </w14:solidFill>
          </w14:textFill>
        </w:rPr>
        <w:t>修完教育教学计划规定的国内前三学年的全部课程，考核成绩合格，限选课程修满</w:t>
      </w:r>
      <w:r>
        <w:rPr>
          <w:rFonts w:ascii="宋体" w:cs="宋体"/>
          <w:color w:val="000000" w:themeColor="text1"/>
          <w:kern w:val="0"/>
          <w:sz w:val="24"/>
          <w14:textFill>
            <w14:solidFill>
              <w14:schemeClr w14:val="tx1"/>
            </w14:solidFill>
          </w14:textFill>
        </w:rPr>
        <w:t>1</w:t>
      </w:r>
      <w:r>
        <w:rPr>
          <w:rFonts w:hint="eastAsia" w:ascii="宋体" w:cs="宋体"/>
          <w:color w:val="000000" w:themeColor="text1"/>
          <w:kern w:val="0"/>
          <w:sz w:val="24"/>
          <w14:textFill>
            <w14:solidFill>
              <w14:schemeClr w14:val="tx1"/>
            </w14:solidFill>
          </w14:textFill>
        </w:rPr>
        <w:t>6学分，任选课修满</w:t>
      </w:r>
      <w:r>
        <w:rPr>
          <w:rFonts w:ascii="宋体" w:cs="宋体"/>
          <w:color w:val="000000" w:themeColor="text1"/>
          <w:kern w:val="0"/>
          <w:sz w:val="24"/>
          <w14:textFill>
            <w14:solidFill>
              <w14:schemeClr w14:val="tx1"/>
            </w14:solidFill>
          </w14:textFill>
        </w:rPr>
        <w:t>12</w:t>
      </w:r>
      <w:r>
        <w:rPr>
          <w:rFonts w:hint="eastAsia" w:ascii="宋体" w:cs="宋体"/>
          <w:color w:val="000000" w:themeColor="text1"/>
          <w:kern w:val="0"/>
          <w:sz w:val="24"/>
          <w14:textFill>
            <w14:solidFill>
              <w14:schemeClr w14:val="tx1"/>
            </w14:solidFill>
          </w14:textFill>
        </w:rPr>
        <w:t>学分，通过毕业实习和社会实践，按学校管理办法完成毕业论文（设计）并通过答辩，总学分达</w:t>
      </w:r>
      <w:r>
        <w:rPr>
          <w:rFonts w:ascii="宋体" w:cs="宋体"/>
          <w:color w:val="000000" w:themeColor="text1"/>
          <w:kern w:val="0"/>
          <w:sz w:val="24"/>
          <w14:textFill>
            <w14:solidFill>
              <w14:schemeClr w14:val="tx1"/>
            </w14:solidFill>
          </w14:textFill>
        </w:rPr>
        <w:t>15</w:t>
      </w:r>
      <w:r>
        <w:rPr>
          <w:rFonts w:hint="eastAsia" w:ascii="宋体" w:cs="宋体"/>
          <w:color w:val="000000" w:themeColor="text1"/>
          <w:kern w:val="0"/>
          <w:sz w:val="24"/>
          <w14:textFill>
            <w14:solidFill>
              <w14:schemeClr w14:val="tx1"/>
            </w14:solidFill>
          </w14:textFill>
        </w:rPr>
        <w:t>6学分及以上，准予从广西医科大学毕业，授予广西医科大学全日制本科毕业证书。符合《广西医科大学学士学位授予工作细则》规定条件者授予管理学学位。</w:t>
      </w:r>
    </w:p>
    <w:p>
      <w:pPr>
        <w:autoSpaceDE w:val="0"/>
        <w:autoSpaceDN w:val="0"/>
        <w:adjustRightInd w:val="0"/>
        <w:ind w:firstLine="480" w:firstLineChars="200"/>
        <w:jc w:val="left"/>
        <w:rPr>
          <w:rFonts w:ascii="宋体" w:cs="宋体"/>
          <w:color w:val="000000" w:themeColor="text1"/>
          <w:kern w:val="0"/>
          <w:sz w:val="24"/>
          <w14:textFill>
            <w14:solidFill>
              <w14:schemeClr w14:val="tx1"/>
            </w14:solidFill>
          </w14:textFill>
        </w:rPr>
      </w:pPr>
      <w:r>
        <w:rPr>
          <w:rFonts w:ascii="宋体" w:cs="宋体"/>
          <w:color w:val="000000" w:themeColor="text1"/>
          <w:kern w:val="0"/>
          <w:sz w:val="24"/>
          <w14:textFill>
            <w14:solidFill>
              <w14:schemeClr w14:val="tx1"/>
            </w14:solidFill>
          </w14:textFill>
        </w:rPr>
        <w:t>2</w:t>
      </w:r>
      <w:r>
        <w:rPr>
          <w:rFonts w:hint="eastAsia" w:ascii="宋体" w:cs="宋体"/>
          <w:color w:val="000000" w:themeColor="text1"/>
          <w:kern w:val="0"/>
          <w:sz w:val="24"/>
          <w14:textFill>
            <w14:solidFill>
              <w14:schemeClr w14:val="tx1"/>
            </w14:solidFill>
          </w14:textFill>
        </w:rPr>
        <w:t>、在学校规定的修业年限内，完成“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创新创业”项目的合格者。即入校后完成</w:t>
      </w:r>
      <w:r>
        <w:rPr>
          <w:rFonts w:ascii="宋体" w:cs="宋体"/>
          <w:color w:val="000000" w:themeColor="text1"/>
          <w:kern w:val="0"/>
          <w:sz w:val="24"/>
          <w14:textFill>
            <w14:solidFill>
              <w14:schemeClr w14:val="tx1"/>
            </w14:solidFill>
          </w14:textFill>
        </w:rPr>
        <w:t>3</w:t>
      </w:r>
      <w:r>
        <w:rPr>
          <w:rFonts w:hint="eastAsia" w:ascii="宋体" w:cs="宋体"/>
          <w:color w:val="000000" w:themeColor="text1"/>
          <w:kern w:val="0"/>
          <w:sz w:val="24"/>
          <w14:textFill>
            <w14:solidFill>
              <w14:schemeClr w14:val="tx1"/>
            </w14:solidFill>
          </w14:textFill>
        </w:rPr>
        <w:t>年课程的学习、成绩合格；随后进行与专业相关的创新创业且其成绩特别突出的、经二级学院教学委员会认定，上报学校教学委员会复核批准，准予毕业并授予学士学位。</w:t>
      </w:r>
    </w:p>
    <w:p>
      <w:pPr>
        <w:pStyle w:val="11"/>
        <w:spacing w:before="0" w:beforeAutospacing="0" w:after="0" w:afterAutospacing="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八、毕业去向</w:t>
      </w:r>
      <w:r>
        <w:rPr>
          <w:b/>
          <w:color w:val="000000" w:themeColor="text1"/>
          <w14:textFill>
            <w14:solidFill>
              <w14:schemeClr w14:val="tx1"/>
            </w14:solidFill>
          </w14:textFill>
        </w:rPr>
        <w:tab/>
      </w:r>
    </w:p>
    <w:p>
      <w:pPr>
        <w:ind w:firstLine="480" w:firstLineChars="200"/>
        <w:jc w:val="left"/>
        <w:rPr>
          <w:color w:val="000000" w:themeColor="text1"/>
          <w14:textFill>
            <w14:solidFill>
              <w14:schemeClr w14:val="tx1"/>
            </w14:solidFill>
          </w14:textFill>
        </w:rPr>
      </w:pPr>
      <w:r>
        <w:rPr>
          <w:rStyle w:val="19"/>
          <w:rFonts w:hint="eastAsia" w:ascii="宋体" w:hAnsi="宋体" w:eastAsia="宋体" w:cs="宋体"/>
          <w:b w:val="0"/>
          <w:bCs w:val="0"/>
          <w:color w:val="000000" w:themeColor="text1"/>
          <w:sz w:val="24"/>
          <w:szCs w:val="24"/>
          <w14:textFill>
            <w14:solidFill>
              <w14:schemeClr w14:val="tx1"/>
            </w14:solidFill>
          </w14:textFill>
        </w:rPr>
        <w:t>广西医科大学与美国西俄勒冈大学合作举办公共事业管理专业本科教育项目</w:t>
      </w:r>
      <w:r>
        <w:rPr>
          <w:rFonts w:hint="eastAsia"/>
          <w:color w:val="000000" w:themeColor="text1"/>
          <w:sz w:val="24"/>
          <w:szCs w:val="24"/>
          <w14:textFill>
            <w14:solidFill>
              <w14:schemeClr w14:val="tx1"/>
            </w14:solidFill>
          </w14:textFill>
        </w:rPr>
        <w:t>的建立是为了应对全民医保的挑战、适应我国医疗保障制度改革的要求，本专业的毕业生具备医学、经济学、管理学知识，具有比较扎实的社会医疗保障和健康保险学相关专业知识与技能，属于应用型、复合型专门人才。毕业后可在中国或美国的以社会医疗保险部门为主的各级各类社会保障管理与经办部门、商业性保险机构、医疗卫生机构、高等院校、科研机构、跨国公司、大中型企业人力资源管理部门从事与医疗保险领域相关的管理、研究及经营工作。</w:t>
      </w:r>
    </w:p>
    <w:p>
      <w:pPr>
        <w:pStyle w:val="11"/>
        <w:spacing w:before="0" w:beforeAutospacing="0" w:after="0" w:afterAutospacing="0"/>
        <w:rPr>
          <w:rFonts w:hint="eastAsia"/>
          <w:b/>
          <w:color w:val="000000" w:themeColor="text1"/>
          <w14:textFill>
            <w14:solidFill>
              <w14:schemeClr w14:val="tx1"/>
            </w14:solidFill>
          </w14:textFill>
        </w:rPr>
      </w:pPr>
      <w:r>
        <w:rPr>
          <w:rFonts w:hint="eastAsia"/>
          <w:b/>
          <w:color w:val="000000" w:themeColor="text1"/>
          <w14:textFill>
            <w14:solidFill>
              <w14:schemeClr w14:val="tx1"/>
            </w14:solidFill>
          </w14:textFill>
        </w:rPr>
        <w:t>九、教学进程</w:t>
      </w:r>
    </w:p>
    <w:p>
      <w:pPr>
        <w:pStyle w:val="105"/>
        <w:keepNext w:val="0"/>
        <w:keepLines w:val="0"/>
        <w:pageBreakBefore w:val="0"/>
        <w:kinsoku/>
        <w:wordWrap/>
        <w:overflowPunct/>
        <w:topLinePunct w:val="0"/>
        <w:autoSpaceDE/>
        <w:autoSpaceDN/>
        <w:bidi w:val="0"/>
        <w:adjustRightInd/>
        <w:snapToGrid/>
        <w:spacing w:line="360" w:lineRule="exact"/>
        <w:ind w:firstLine="432"/>
        <w:textAlignment w:val="auto"/>
        <w:rPr>
          <w:rFonts w:hint="eastAsia" w:eastAsia="宋体" w:cs="宋体"/>
          <w:color w:val="auto"/>
          <w:lang w:val="en-US" w:eastAsia="zh-CN"/>
        </w:rPr>
      </w:pPr>
      <w:r>
        <w:rPr>
          <w:rFonts w:hint="eastAsia" w:ascii="Times New Roman" w:hAnsi="Times New Roman" w:eastAsia="宋体" w:cs="Times New Roman"/>
          <w:b w:val="0"/>
          <w:color w:val="000000" w:themeColor="text1"/>
          <w:kern w:val="2"/>
          <w:sz w:val="24"/>
          <w:szCs w:val="24"/>
          <w:lang w:val="en-US" w:eastAsia="zh-CN" w:bidi="ar-SA"/>
          <w14:textFill>
            <w14:solidFill>
              <w14:schemeClr w14:val="tx1"/>
            </w14:solidFill>
          </w14:textFill>
        </w:rPr>
        <w:t>见进程表Excel版</w:t>
      </w:r>
    </w:p>
    <w:p>
      <w:pPr>
        <w:pStyle w:val="11"/>
        <w:spacing w:before="0" w:beforeAutospacing="0" w:after="0" w:afterAutospacing="0"/>
        <w:rPr>
          <w:rFonts w:hint="default"/>
          <w:b/>
          <w:color w:val="000000" w:themeColor="text1"/>
          <w:lang w:val="en-US" w:eastAsia="zh-CN"/>
          <w14:textFill>
            <w14:solidFill>
              <w14:schemeClr w14:val="tx1"/>
            </w14:solidFill>
          </w14:textFill>
        </w:rPr>
      </w:pPr>
      <w:r>
        <w:rPr>
          <w:rFonts w:hint="eastAsia"/>
          <w:b/>
          <w:color w:val="000000" w:themeColor="text1"/>
          <w:lang w:val="en-US" w:eastAsia="zh-CN"/>
          <w14:textFill>
            <w14:solidFill>
              <w14:schemeClr w14:val="tx1"/>
            </w14:solidFill>
          </w14:textFill>
        </w:rPr>
        <w:t>十、课程体系对培养要求指标点支撑矩阵图</w:t>
      </w:r>
    </w:p>
    <w:tbl>
      <w:tblPr>
        <w:tblStyle w:val="12"/>
        <w:tblW w:w="87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696"/>
        <w:gridCol w:w="412"/>
        <w:gridCol w:w="1086"/>
        <w:gridCol w:w="486"/>
        <w:gridCol w:w="486"/>
        <w:gridCol w:w="486"/>
        <w:gridCol w:w="488"/>
        <w:gridCol w:w="486"/>
        <w:gridCol w:w="492"/>
        <w:gridCol w:w="486"/>
        <w:gridCol w:w="488"/>
        <w:gridCol w:w="488"/>
        <w:gridCol w:w="486"/>
        <w:gridCol w:w="486"/>
        <w:gridCol w:w="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759"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四年制公共事业管理专业（社会医疗保障方向）中外合作办学项目人才培养方案（不出国版）课程体系对培养要求指标点支撑矩阵图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9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类别</w:t>
            </w:r>
          </w:p>
        </w:tc>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184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思想道德与职业素质要求</w:t>
            </w:r>
          </w:p>
        </w:tc>
        <w:tc>
          <w:tcPr>
            <w:tcW w:w="2411"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知识素质要求</w:t>
            </w:r>
          </w:p>
        </w:tc>
        <w:tc>
          <w:tcPr>
            <w:tcW w:w="147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 w:hRule="atLeast"/>
        </w:trPr>
        <w:tc>
          <w:tcPr>
            <w:tcW w:w="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 w:hRule="atLeast"/>
        </w:trPr>
        <w:tc>
          <w:tcPr>
            <w:tcW w:w="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基础阶段课程</w:t>
            </w:r>
          </w:p>
        </w:tc>
        <w:tc>
          <w:tcPr>
            <w:tcW w:w="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思德修养·人文素质·行为科学</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军事理论</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英语（一）</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大学生心理健康教育</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FF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大学生安全教育</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FF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FF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劳动教育</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创业基础</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大学生职业发展与就业指导</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思想道德与法治</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中国近现代史纲要</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毛泽东思想和中国特色社会主义理论体系概论</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习近平新时代中国特色社会主义思想概论</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马克思主义基本原理</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社会学概论（限选）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批判性思维与道德推理（限选）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自然科学</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计算机应用基础（限选）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高等数学（限选）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生物医学</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基础医学概论（限选）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临床医学概论（限选）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法医临床学（限选）</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政治学原理</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基础微观经济学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社会统计学（含统计软件应用）</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社会保障研究方法</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公共经济学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社会保障概论</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公共事业管理概论</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restart"/>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基础心理学★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管理学基础★</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管理学专业外语★</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商业道德★</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商业与社会★</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公共关系学★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组织行为学★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公共政策★</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基础宏观经济学★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英语（二）议论文写作★</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英语（三）公共演讲★</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社会组织管理</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保险学概论</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社区及公共卫生★</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金融会计学★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病案信息学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保险实务（核保与理赔）</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医疗保险学</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养老院的医疗管理★</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人力资源管理★</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英语（四）学术写作★</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4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法学概论</w:t>
            </w: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5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说明：</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1.课程名称后加★号的为美方教师前来中国授课，课程名称根据美方要求和实际情况可能有所调整。</w:t>
            </w:r>
          </w:p>
        </w:tc>
      </w:tr>
    </w:tbl>
    <w:p>
      <w:pPr>
        <w:pStyle w:val="11"/>
        <w:spacing w:before="0" w:beforeAutospacing="0" w:after="0" w:afterAutospacing="0"/>
        <w:rPr>
          <w:b/>
          <w:color w:val="000000" w:themeColor="text1"/>
          <w14:textFill>
            <w14:solidFill>
              <w14:schemeClr w14:val="tx1"/>
            </w14:solidFill>
          </w14:textFill>
        </w:rPr>
      </w:pPr>
    </w:p>
    <w:sectPr>
      <w:pgSz w:w="11906" w:h="16838"/>
      <w:pgMar w:top="1418" w:right="1440" w:bottom="1418"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iNzE0ZDQwNDUyMmVjZDBmYWJmOTZiMGIzNThkZDEifQ=="/>
  </w:docVars>
  <w:rsids>
    <w:rsidRoot w:val="00137479"/>
    <w:rsid w:val="000009B8"/>
    <w:rsid w:val="00003534"/>
    <w:rsid w:val="00007C04"/>
    <w:rsid w:val="000103BA"/>
    <w:rsid w:val="000235BB"/>
    <w:rsid w:val="000279C8"/>
    <w:rsid w:val="000304DD"/>
    <w:rsid w:val="00035846"/>
    <w:rsid w:val="00035F26"/>
    <w:rsid w:val="000378F6"/>
    <w:rsid w:val="00037AF7"/>
    <w:rsid w:val="00043096"/>
    <w:rsid w:val="00045E29"/>
    <w:rsid w:val="00053F0B"/>
    <w:rsid w:val="00053FDA"/>
    <w:rsid w:val="0005625F"/>
    <w:rsid w:val="00061640"/>
    <w:rsid w:val="00063F54"/>
    <w:rsid w:val="00065CBA"/>
    <w:rsid w:val="000665A9"/>
    <w:rsid w:val="00070595"/>
    <w:rsid w:val="0007061F"/>
    <w:rsid w:val="000712A7"/>
    <w:rsid w:val="000724A5"/>
    <w:rsid w:val="00073402"/>
    <w:rsid w:val="00073CB5"/>
    <w:rsid w:val="00077CD5"/>
    <w:rsid w:val="00081C7D"/>
    <w:rsid w:val="0008772D"/>
    <w:rsid w:val="000916A5"/>
    <w:rsid w:val="0009472C"/>
    <w:rsid w:val="000A10E0"/>
    <w:rsid w:val="000A1997"/>
    <w:rsid w:val="000A1D33"/>
    <w:rsid w:val="000A3EB6"/>
    <w:rsid w:val="000A7216"/>
    <w:rsid w:val="000B0E42"/>
    <w:rsid w:val="000B14A8"/>
    <w:rsid w:val="000C0EE0"/>
    <w:rsid w:val="000C0FA8"/>
    <w:rsid w:val="000C300B"/>
    <w:rsid w:val="000D1B75"/>
    <w:rsid w:val="000D2102"/>
    <w:rsid w:val="000D37D6"/>
    <w:rsid w:val="000E120D"/>
    <w:rsid w:val="000E30A1"/>
    <w:rsid w:val="000F0DBF"/>
    <w:rsid w:val="000F6F83"/>
    <w:rsid w:val="00103D0D"/>
    <w:rsid w:val="00105EBB"/>
    <w:rsid w:val="0011302B"/>
    <w:rsid w:val="0011319D"/>
    <w:rsid w:val="00117AD6"/>
    <w:rsid w:val="0012096D"/>
    <w:rsid w:val="00124DA2"/>
    <w:rsid w:val="00124FB8"/>
    <w:rsid w:val="0012543D"/>
    <w:rsid w:val="001266EB"/>
    <w:rsid w:val="0013229E"/>
    <w:rsid w:val="00137479"/>
    <w:rsid w:val="00137B93"/>
    <w:rsid w:val="001410F1"/>
    <w:rsid w:val="0014319C"/>
    <w:rsid w:val="001451BE"/>
    <w:rsid w:val="001452C4"/>
    <w:rsid w:val="00147415"/>
    <w:rsid w:val="001477F8"/>
    <w:rsid w:val="00157CEB"/>
    <w:rsid w:val="0016519C"/>
    <w:rsid w:val="00165234"/>
    <w:rsid w:val="001740FB"/>
    <w:rsid w:val="0017496D"/>
    <w:rsid w:val="001849CA"/>
    <w:rsid w:val="00186408"/>
    <w:rsid w:val="00186D31"/>
    <w:rsid w:val="00193F79"/>
    <w:rsid w:val="0019465F"/>
    <w:rsid w:val="00194BBE"/>
    <w:rsid w:val="00197C12"/>
    <w:rsid w:val="001A38BB"/>
    <w:rsid w:val="001A7014"/>
    <w:rsid w:val="001B0626"/>
    <w:rsid w:val="001B1C0E"/>
    <w:rsid w:val="001B1CAE"/>
    <w:rsid w:val="001B36E2"/>
    <w:rsid w:val="001B4962"/>
    <w:rsid w:val="001C00F8"/>
    <w:rsid w:val="001C1C4C"/>
    <w:rsid w:val="001C36E4"/>
    <w:rsid w:val="001C7E90"/>
    <w:rsid w:val="001D1237"/>
    <w:rsid w:val="001E0395"/>
    <w:rsid w:val="001E2B30"/>
    <w:rsid w:val="001E2F12"/>
    <w:rsid w:val="001E54E5"/>
    <w:rsid w:val="001E64C7"/>
    <w:rsid w:val="001F2871"/>
    <w:rsid w:val="001F388D"/>
    <w:rsid w:val="001F5114"/>
    <w:rsid w:val="001F698B"/>
    <w:rsid w:val="00201583"/>
    <w:rsid w:val="0020584E"/>
    <w:rsid w:val="002113C2"/>
    <w:rsid w:val="00213451"/>
    <w:rsid w:val="00220CC9"/>
    <w:rsid w:val="0022128A"/>
    <w:rsid w:val="002247D9"/>
    <w:rsid w:val="00225C29"/>
    <w:rsid w:val="00232DF6"/>
    <w:rsid w:val="00233235"/>
    <w:rsid w:val="0023340A"/>
    <w:rsid w:val="002433EA"/>
    <w:rsid w:val="00246243"/>
    <w:rsid w:val="0024741E"/>
    <w:rsid w:val="00252D9F"/>
    <w:rsid w:val="002566F0"/>
    <w:rsid w:val="00256B10"/>
    <w:rsid w:val="00256B82"/>
    <w:rsid w:val="00260B67"/>
    <w:rsid w:val="00261389"/>
    <w:rsid w:val="002622E5"/>
    <w:rsid w:val="00262B35"/>
    <w:rsid w:val="00266EAA"/>
    <w:rsid w:val="00267BD7"/>
    <w:rsid w:val="00271378"/>
    <w:rsid w:val="00283B67"/>
    <w:rsid w:val="0028534F"/>
    <w:rsid w:val="00286894"/>
    <w:rsid w:val="00286BA8"/>
    <w:rsid w:val="00290457"/>
    <w:rsid w:val="00297D7A"/>
    <w:rsid w:val="002A0E41"/>
    <w:rsid w:val="002A29B0"/>
    <w:rsid w:val="002A3246"/>
    <w:rsid w:val="002A5189"/>
    <w:rsid w:val="002A6D25"/>
    <w:rsid w:val="002B340E"/>
    <w:rsid w:val="002B4B9F"/>
    <w:rsid w:val="002B5A54"/>
    <w:rsid w:val="002B68CA"/>
    <w:rsid w:val="002C1F4B"/>
    <w:rsid w:val="002C2ABB"/>
    <w:rsid w:val="002C6B6C"/>
    <w:rsid w:val="002C6DD3"/>
    <w:rsid w:val="002D17F1"/>
    <w:rsid w:val="002D27CE"/>
    <w:rsid w:val="002D4801"/>
    <w:rsid w:val="002D6B49"/>
    <w:rsid w:val="002E194A"/>
    <w:rsid w:val="002E1EC7"/>
    <w:rsid w:val="002E6FD2"/>
    <w:rsid w:val="002F46A9"/>
    <w:rsid w:val="00301A72"/>
    <w:rsid w:val="00310B61"/>
    <w:rsid w:val="00317EA3"/>
    <w:rsid w:val="00327BAF"/>
    <w:rsid w:val="00335BD8"/>
    <w:rsid w:val="003361A3"/>
    <w:rsid w:val="00337D92"/>
    <w:rsid w:val="00347246"/>
    <w:rsid w:val="0035385D"/>
    <w:rsid w:val="00354DF7"/>
    <w:rsid w:val="00357AEC"/>
    <w:rsid w:val="00360164"/>
    <w:rsid w:val="0037184F"/>
    <w:rsid w:val="0037567A"/>
    <w:rsid w:val="00377B1B"/>
    <w:rsid w:val="00381D6A"/>
    <w:rsid w:val="00383F95"/>
    <w:rsid w:val="00386FCB"/>
    <w:rsid w:val="003954BC"/>
    <w:rsid w:val="00397514"/>
    <w:rsid w:val="003A0D0C"/>
    <w:rsid w:val="003A2EE5"/>
    <w:rsid w:val="003A7A12"/>
    <w:rsid w:val="003B2BBC"/>
    <w:rsid w:val="003B468A"/>
    <w:rsid w:val="003B50E3"/>
    <w:rsid w:val="003B709B"/>
    <w:rsid w:val="003C3FBF"/>
    <w:rsid w:val="003C5518"/>
    <w:rsid w:val="003C61AC"/>
    <w:rsid w:val="003D183C"/>
    <w:rsid w:val="003D2196"/>
    <w:rsid w:val="003D3AB7"/>
    <w:rsid w:val="003D4177"/>
    <w:rsid w:val="003D6C30"/>
    <w:rsid w:val="003E0BA2"/>
    <w:rsid w:val="003F0A5C"/>
    <w:rsid w:val="003F29B2"/>
    <w:rsid w:val="003F38E5"/>
    <w:rsid w:val="003F49F8"/>
    <w:rsid w:val="003F5318"/>
    <w:rsid w:val="003F562A"/>
    <w:rsid w:val="003F6CFE"/>
    <w:rsid w:val="00400357"/>
    <w:rsid w:val="00406ED5"/>
    <w:rsid w:val="00407AE3"/>
    <w:rsid w:val="0041236E"/>
    <w:rsid w:val="004143AC"/>
    <w:rsid w:val="00416BD9"/>
    <w:rsid w:val="00420004"/>
    <w:rsid w:val="00420908"/>
    <w:rsid w:val="00427FB1"/>
    <w:rsid w:val="0043377C"/>
    <w:rsid w:val="00435579"/>
    <w:rsid w:val="004365C9"/>
    <w:rsid w:val="0044022C"/>
    <w:rsid w:val="004513C5"/>
    <w:rsid w:val="00451CC7"/>
    <w:rsid w:val="00456BC2"/>
    <w:rsid w:val="00460657"/>
    <w:rsid w:val="004615F3"/>
    <w:rsid w:val="004654A9"/>
    <w:rsid w:val="00465EB7"/>
    <w:rsid w:val="00466467"/>
    <w:rsid w:val="004765D2"/>
    <w:rsid w:val="00476DC5"/>
    <w:rsid w:val="00482F53"/>
    <w:rsid w:val="00483645"/>
    <w:rsid w:val="00483A41"/>
    <w:rsid w:val="004918D3"/>
    <w:rsid w:val="00492E64"/>
    <w:rsid w:val="00493CD8"/>
    <w:rsid w:val="004A20C7"/>
    <w:rsid w:val="004A311F"/>
    <w:rsid w:val="004A6B48"/>
    <w:rsid w:val="004A76A4"/>
    <w:rsid w:val="004B1173"/>
    <w:rsid w:val="004B2317"/>
    <w:rsid w:val="004B2626"/>
    <w:rsid w:val="004C5696"/>
    <w:rsid w:val="004C5D16"/>
    <w:rsid w:val="004D2034"/>
    <w:rsid w:val="004F5FFE"/>
    <w:rsid w:val="004F77A3"/>
    <w:rsid w:val="0050155F"/>
    <w:rsid w:val="00501800"/>
    <w:rsid w:val="005022AD"/>
    <w:rsid w:val="00503BA9"/>
    <w:rsid w:val="00505B37"/>
    <w:rsid w:val="005077A4"/>
    <w:rsid w:val="005111E5"/>
    <w:rsid w:val="0051215A"/>
    <w:rsid w:val="00512925"/>
    <w:rsid w:val="00513B42"/>
    <w:rsid w:val="00532AF3"/>
    <w:rsid w:val="00532C1B"/>
    <w:rsid w:val="005332D6"/>
    <w:rsid w:val="005334EF"/>
    <w:rsid w:val="005367E5"/>
    <w:rsid w:val="00546A85"/>
    <w:rsid w:val="00547697"/>
    <w:rsid w:val="0055190F"/>
    <w:rsid w:val="00552A15"/>
    <w:rsid w:val="00557310"/>
    <w:rsid w:val="00563100"/>
    <w:rsid w:val="005639AE"/>
    <w:rsid w:val="00564138"/>
    <w:rsid w:val="00564D19"/>
    <w:rsid w:val="00574E79"/>
    <w:rsid w:val="005768CB"/>
    <w:rsid w:val="00577264"/>
    <w:rsid w:val="00582934"/>
    <w:rsid w:val="0058472A"/>
    <w:rsid w:val="00585875"/>
    <w:rsid w:val="005860D9"/>
    <w:rsid w:val="005914BD"/>
    <w:rsid w:val="005945D5"/>
    <w:rsid w:val="00595A20"/>
    <w:rsid w:val="005A05D9"/>
    <w:rsid w:val="005A3FC9"/>
    <w:rsid w:val="005A4627"/>
    <w:rsid w:val="005A5415"/>
    <w:rsid w:val="005A6F57"/>
    <w:rsid w:val="005A6F7A"/>
    <w:rsid w:val="005B0E37"/>
    <w:rsid w:val="005E0D54"/>
    <w:rsid w:val="005E0FD9"/>
    <w:rsid w:val="005E164E"/>
    <w:rsid w:val="005E6F05"/>
    <w:rsid w:val="005E7321"/>
    <w:rsid w:val="005E7EE8"/>
    <w:rsid w:val="005F4CB9"/>
    <w:rsid w:val="005F5226"/>
    <w:rsid w:val="005F6E72"/>
    <w:rsid w:val="00600CE1"/>
    <w:rsid w:val="006035C3"/>
    <w:rsid w:val="00603F98"/>
    <w:rsid w:val="00606DC5"/>
    <w:rsid w:val="00607DFC"/>
    <w:rsid w:val="00610B9B"/>
    <w:rsid w:val="00613DC3"/>
    <w:rsid w:val="0062074C"/>
    <w:rsid w:val="006219BE"/>
    <w:rsid w:val="00621F68"/>
    <w:rsid w:val="00627151"/>
    <w:rsid w:val="00630E9A"/>
    <w:rsid w:val="00632DB5"/>
    <w:rsid w:val="006346A1"/>
    <w:rsid w:val="006348CA"/>
    <w:rsid w:val="00636C00"/>
    <w:rsid w:val="006463C6"/>
    <w:rsid w:val="00651561"/>
    <w:rsid w:val="0065298B"/>
    <w:rsid w:val="00653B63"/>
    <w:rsid w:val="006620BB"/>
    <w:rsid w:val="00672922"/>
    <w:rsid w:val="006746C0"/>
    <w:rsid w:val="006860C0"/>
    <w:rsid w:val="00694EE0"/>
    <w:rsid w:val="006958A3"/>
    <w:rsid w:val="006A0890"/>
    <w:rsid w:val="006A3881"/>
    <w:rsid w:val="006A7951"/>
    <w:rsid w:val="006B3074"/>
    <w:rsid w:val="006B48AC"/>
    <w:rsid w:val="006B631E"/>
    <w:rsid w:val="006B79FD"/>
    <w:rsid w:val="006C1C1E"/>
    <w:rsid w:val="006C57D3"/>
    <w:rsid w:val="006C6710"/>
    <w:rsid w:val="006D00F4"/>
    <w:rsid w:val="006D79AE"/>
    <w:rsid w:val="006E2691"/>
    <w:rsid w:val="006E41B2"/>
    <w:rsid w:val="006E42FB"/>
    <w:rsid w:val="00700373"/>
    <w:rsid w:val="00705185"/>
    <w:rsid w:val="00705685"/>
    <w:rsid w:val="00713E73"/>
    <w:rsid w:val="00714C55"/>
    <w:rsid w:val="00716E1D"/>
    <w:rsid w:val="00717296"/>
    <w:rsid w:val="007215CF"/>
    <w:rsid w:val="007219C0"/>
    <w:rsid w:val="00724D36"/>
    <w:rsid w:val="007258D9"/>
    <w:rsid w:val="007266AB"/>
    <w:rsid w:val="007339D3"/>
    <w:rsid w:val="00733A05"/>
    <w:rsid w:val="00733FBD"/>
    <w:rsid w:val="00735B17"/>
    <w:rsid w:val="00737F4F"/>
    <w:rsid w:val="007426C5"/>
    <w:rsid w:val="00753728"/>
    <w:rsid w:val="007618A9"/>
    <w:rsid w:val="00764507"/>
    <w:rsid w:val="007676AE"/>
    <w:rsid w:val="00767985"/>
    <w:rsid w:val="00774467"/>
    <w:rsid w:val="007779FD"/>
    <w:rsid w:val="00777DBE"/>
    <w:rsid w:val="007807E0"/>
    <w:rsid w:val="00783C03"/>
    <w:rsid w:val="00790F61"/>
    <w:rsid w:val="00794ACA"/>
    <w:rsid w:val="007A0BE2"/>
    <w:rsid w:val="007A5298"/>
    <w:rsid w:val="007A70A4"/>
    <w:rsid w:val="007A7390"/>
    <w:rsid w:val="007C1EBC"/>
    <w:rsid w:val="007C3A74"/>
    <w:rsid w:val="007C6C77"/>
    <w:rsid w:val="007C6F5B"/>
    <w:rsid w:val="007D19F8"/>
    <w:rsid w:val="007D1D79"/>
    <w:rsid w:val="007D275E"/>
    <w:rsid w:val="007D5D1A"/>
    <w:rsid w:val="007D690F"/>
    <w:rsid w:val="007E00DF"/>
    <w:rsid w:val="007E07BE"/>
    <w:rsid w:val="007E5518"/>
    <w:rsid w:val="007F4B69"/>
    <w:rsid w:val="007F7644"/>
    <w:rsid w:val="00800A58"/>
    <w:rsid w:val="008010DB"/>
    <w:rsid w:val="008032F0"/>
    <w:rsid w:val="008062DB"/>
    <w:rsid w:val="00815078"/>
    <w:rsid w:val="008229BB"/>
    <w:rsid w:val="008231ED"/>
    <w:rsid w:val="0082356F"/>
    <w:rsid w:val="008249E7"/>
    <w:rsid w:val="00827262"/>
    <w:rsid w:val="0083083C"/>
    <w:rsid w:val="008318CD"/>
    <w:rsid w:val="0083291B"/>
    <w:rsid w:val="00834F1A"/>
    <w:rsid w:val="00835A92"/>
    <w:rsid w:val="00836430"/>
    <w:rsid w:val="00842281"/>
    <w:rsid w:val="0084710C"/>
    <w:rsid w:val="008546BB"/>
    <w:rsid w:val="00855C1C"/>
    <w:rsid w:val="008624AB"/>
    <w:rsid w:val="00863919"/>
    <w:rsid w:val="00864FD5"/>
    <w:rsid w:val="00866CC6"/>
    <w:rsid w:val="00870EEA"/>
    <w:rsid w:val="00871B2D"/>
    <w:rsid w:val="00872829"/>
    <w:rsid w:val="00873135"/>
    <w:rsid w:val="00873F15"/>
    <w:rsid w:val="00877637"/>
    <w:rsid w:val="00882438"/>
    <w:rsid w:val="0088282F"/>
    <w:rsid w:val="00884C27"/>
    <w:rsid w:val="008859D8"/>
    <w:rsid w:val="00892A57"/>
    <w:rsid w:val="008A6D8A"/>
    <w:rsid w:val="008A78BB"/>
    <w:rsid w:val="008C0329"/>
    <w:rsid w:val="008C044B"/>
    <w:rsid w:val="008C44E2"/>
    <w:rsid w:val="008C5C99"/>
    <w:rsid w:val="008D7A25"/>
    <w:rsid w:val="008E17AB"/>
    <w:rsid w:val="008E2419"/>
    <w:rsid w:val="008E48BF"/>
    <w:rsid w:val="008F0205"/>
    <w:rsid w:val="008F07B5"/>
    <w:rsid w:val="008F4C3A"/>
    <w:rsid w:val="008F59C7"/>
    <w:rsid w:val="0090010C"/>
    <w:rsid w:val="00905E9B"/>
    <w:rsid w:val="009073CB"/>
    <w:rsid w:val="00907DE4"/>
    <w:rsid w:val="00912E33"/>
    <w:rsid w:val="009141F1"/>
    <w:rsid w:val="00923AB1"/>
    <w:rsid w:val="009305F0"/>
    <w:rsid w:val="009308B7"/>
    <w:rsid w:val="00932BF5"/>
    <w:rsid w:val="0094290E"/>
    <w:rsid w:val="00942FC0"/>
    <w:rsid w:val="00944A76"/>
    <w:rsid w:val="009464DE"/>
    <w:rsid w:val="0095007D"/>
    <w:rsid w:val="00953466"/>
    <w:rsid w:val="00957152"/>
    <w:rsid w:val="00957B71"/>
    <w:rsid w:val="00961A5B"/>
    <w:rsid w:val="0096350C"/>
    <w:rsid w:val="0097236B"/>
    <w:rsid w:val="00972C4E"/>
    <w:rsid w:val="009777E2"/>
    <w:rsid w:val="0098089C"/>
    <w:rsid w:val="009815A8"/>
    <w:rsid w:val="00982581"/>
    <w:rsid w:val="00983DDB"/>
    <w:rsid w:val="00994DAD"/>
    <w:rsid w:val="00995B87"/>
    <w:rsid w:val="009A0B86"/>
    <w:rsid w:val="009A468F"/>
    <w:rsid w:val="009A635E"/>
    <w:rsid w:val="009A708B"/>
    <w:rsid w:val="009A71DA"/>
    <w:rsid w:val="009A75FB"/>
    <w:rsid w:val="009B7040"/>
    <w:rsid w:val="009C1448"/>
    <w:rsid w:val="009C6EC6"/>
    <w:rsid w:val="009C7144"/>
    <w:rsid w:val="009C7899"/>
    <w:rsid w:val="009D3365"/>
    <w:rsid w:val="009D74CF"/>
    <w:rsid w:val="009E2BD1"/>
    <w:rsid w:val="009E55D2"/>
    <w:rsid w:val="009F3B1F"/>
    <w:rsid w:val="009F4248"/>
    <w:rsid w:val="00A025C2"/>
    <w:rsid w:val="00A07954"/>
    <w:rsid w:val="00A1794B"/>
    <w:rsid w:val="00A20730"/>
    <w:rsid w:val="00A21EC7"/>
    <w:rsid w:val="00A242E1"/>
    <w:rsid w:val="00A3444D"/>
    <w:rsid w:val="00A379C0"/>
    <w:rsid w:val="00A41C27"/>
    <w:rsid w:val="00A42652"/>
    <w:rsid w:val="00A4332B"/>
    <w:rsid w:val="00A476CE"/>
    <w:rsid w:val="00A50646"/>
    <w:rsid w:val="00A528F3"/>
    <w:rsid w:val="00A5427F"/>
    <w:rsid w:val="00A564FB"/>
    <w:rsid w:val="00A574A8"/>
    <w:rsid w:val="00A623B8"/>
    <w:rsid w:val="00A64B5A"/>
    <w:rsid w:val="00A70FD4"/>
    <w:rsid w:val="00A75139"/>
    <w:rsid w:val="00A80F51"/>
    <w:rsid w:val="00A848FF"/>
    <w:rsid w:val="00A8575A"/>
    <w:rsid w:val="00A93D8D"/>
    <w:rsid w:val="00A9591C"/>
    <w:rsid w:val="00A95CE9"/>
    <w:rsid w:val="00A97525"/>
    <w:rsid w:val="00AA07F5"/>
    <w:rsid w:val="00AA0A94"/>
    <w:rsid w:val="00AA1E86"/>
    <w:rsid w:val="00AA4D15"/>
    <w:rsid w:val="00AB01AE"/>
    <w:rsid w:val="00AB1C62"/>
    <w:rsid w:val="00AB65A2"/>
    <w:rsid w:val="00AB674B"/>
    <w:rsid w:val="00AB76C2"/>
    <w:rsid w:val="00AC0BDE"/>
    <w:rsid w:val="00AC101F"/>
    <w:rsid w:val="00AC1526"/>
    <w:rsid w:val="00AC2EB9"/>
    <w:rsid w:val="00AC315C"/>
    <w:rsid w:val="00AC5919"/>
    <w:rsid w:val="00AC6F79"/>
    <w:rsid w:val="00AC7F68"/>
    <w:rsid w:val="00AD400B"/>
    <w:rsid w:val="00AD45E4"/>
    <w:rsid w:val="00AD6D0A"/>
    <w:rsid w:val="00AE313C"/>
    <w:rsid w:val="00AE5C61"/>
    <w:rsid w:val="00AE66F5"/>
    <w:rsid w:val="00AF1BE0"/>
    <w:rsid w:val="00AF6B79"/>
    <w:rsid w:val="00AF76FF"/>
    <w:rsid w:val="00AF7E14"/>
    <w:rsid w:val="00B02C95"/>
    <w:rsid w:val="00B0361B"/>
    <w:rsid w:val="00B078B9"/>
    <w:rsid w:val="00B07CEC"/>
    <w:rsid w:val="00B10B4A"/>
    <w:rsid w:val="00B166E0"/>
    <w:rsid w:val="00B25D07"/>
    <w:rsid w:val="00B3277B"/>
    <w:rsid w:val="00B32FBC"/>
    <w:rsid w:val="00B34C0A"/>
    <w:rsid w:val="00B34EE3"/>
    <w:rsid w:val="00B36952"/>
    <w:rsid w:val="00B401F1"/>
    <w:rsid w:val="00B415F9"/>
    <w:rsid w:val="00B4302E"/>
    <w:rsid w:val="00B44AA8"/>
    <w:rsid w:val="00B4755D"/>
    <w:rsid w:val="00B51C3B"/>
    <w:rsid w:val="00B573A4"/>
    <w:rsid w:val="00B6415E"/>
    <w:rsid w:val="00B66D85"/>
    <w:rsid w:val="00B70A4B"/>
    <w:rsid w:val="00B71393"/>
    <w:rsid w:val="00B86230"/>
    <w:rsid w:val="00B86A7C"/>
    <w:rsid w:val="00B92259"/>
    <w:rsid w:val="00B956E1"/>
    <w:rsid w:val="00BA0A6A"/>
    <w:rsid w:val="00BA4DE7"/>
    <w:rsid w:val="00BB3118"/>
    <w:rsid w:val="00BB6A0E"/>
    <w:rsid w:val="00BB79FE"/>
    <w:rsid w:val="00BC1567"/>
    <w:rsid w:val="00BC1E22"/>
    <w:rsid w:val="00BC4F39"/>
    <w:rsid w:val="00BC7E0C"/>
    <w:rsid w:val="00BD0486"/>
    <w:rsid w:val="00BD39CD"/>
    <w:rsid w:val="00BD4B7E"/>
    <w:rsid w:val="00BD7CFA"/>
    <w:rsid w:val="00BF3A21"/>
    <w:rsid w:val="00BF6D9A"/>
    <w:rsid w:val="00C02503"/>
    <w:rsid w:val="00C10CB0"/>
    <w:rsid w:val="00C110D8"/>
    <w:rsid w:val="00C14820"/>
    <w:rsid w:val="00C217B0"/>
    <w:rsid w:val="00C23ACB"/>
    <w:rsid w:val="00C24FAE"/>
    <w:rsid w:val="00C30233"/>
    <w:rsid w:val="00C314D1"/>
    <w:rsid w:val="00C32D58"/>
    <w:rsid w:val="00C33B18"/>
    <w:rsid w:val="00C401E9"/>
    <w:rsid w:val="00C442CD"/>
    <w:rsid w:val="00C44AD0"/>
    <w:rsid w:val="00C516A3"/>
    <w:rsid w:val="00C52151"/>
    <w:rsid w:val="00C524BE"/>
    <w:rsid w:val="00C547BF"/>
    <w:rsid w:val="00C610BC"/>
    <w:rsid w:val="00C642A0"/>
    <w:rsid w:val="00C64A42"/>
    <w:rsid w:val="00C67F44"/>
    <w:rsid w:val="00C706FC"/>
    <w:rsid w:val="00C725B1"/>
    <w:rsid w:val="00C74AB3"/>
    <w:rsid w:val="00C859C4"/>
    <w:rsid w:val="00C87482"/>
    <w:rsid w:val="00C9011D"/>
    <w:rsid w:val="00C95DAC"/>
    <w:rsid w:val="00C96AD2"/>
    <w:rsid w:val="00CA14CD"/>
    <w:rsid w:val="00CA7AFD"/>
    <w:rsid w:val="00CB075F"/>
    <w:rsid w:val="00CB3E16"/>
    <w:rsid w:val="00CB4B10"/>
    <w:rsid w:val="00CB7E37"/>
    <w:rsid w:val="00CC1CB2"/>
    <w:rsid w:val="00CC5971"/>
    <w:rsid w:val="00CC5A24"/>
    <w:rsid w:val="00CC61C3"/>
    <w:rsid w:val="00CD1416"/>
    <w:rsid w:val="00CD3F45"/>
    <w:rsid w:val="00CD4388"/>
    <w:rsid w:val="00CD6775"/>
    <w:rsid w:val="00CE07F5"/>
    <w:rsid w:val="00CE18F5"/>
    <w:rsid w:val="00CE497E"/>
    <w:rsid w:val="00CE7FE6"/>
    <w:rsid w:val="00CF08FB"/>
    <w:rsid w:val="00CF13CC"/>
    <w:rsid w:val="00CF2CF9"/>
    <w:rsid w:val="00CF3B04"/>
    <w:rsid w:val="00CF3CD8"/>
    <w:rsid w:val="00D0355F"/>
    <w:rsid w:val="00D04A98"/>
    <w:rsid w:val="00D069AF"/>
    <w:rsid w:val="00D107F2"/>
    <w:rsid w:val="00D205BA"/>
    <w:rsid w:val="00D22C81"/>
    <w:rsid w:val="00D246D6"/>
    <w:rsid w:val="00D250D0"/>
    <w:rsid w:val="00D304E7"/>
    <w:rsid w:val="00D32E18"/>
    <w:rsid w:val="00D37536"/>
    <w:rsid w:val="00D41D4C"/>
    <w:rsid w:val="00D57071"/>
    <w:rsid w:val="00D625C8"/>
    <w:rsid w:val="00D6330E"/>
    <w:rsid w:val="00D738BF"/>
    <w:rsid w:val="00D76D88"/>
    <w:rsid w:val="00D81753"/>
    <w:rsid w:val="00D83705"/>
    <w:rsid w:val="00D85F18"/>
    <w:rsid w:val="00D87E67"/>
    <w:rsid w:val="00D90166"/>
    <w:rsid w:val="00D902D4"/>
    <w:rsid w:val="00D90760"/>
    <w:rsid w:val="00D93747"/>
    <w:rsid w:val="00D95C8C"/>
    <w:rsid w:val="00DA6392"/>
    <w:rsid w:val="00DB111F"/>
    <w:rsid w:val="00DB1FF3"/>
    <w:rsid w:val="00DB251D"/>
    <w:rsid w:val="00DB4CFF"/>
    <w:rsid w:val="00DC36EB"/>
    <w:rsid w:val="00DC4FDD"/>
    <w:rsid w:val="00DD4822"/>
    <w:rsid w:val="00DE0D53"/>
    <w:rsid w:val="00DE4C1D"/>
    <w:rsid w:val="00DF328C"/>
    <w:rsid w:val="00E01524"/>
    <w:rsid w:val="00E03B6C"/>
    <w:rsid w:val="00E04828"/>
    <w:rsid w:val="00E1346B"/>
    <w:rsid w:val="00E16CB5"/>
    <w:rsid w:val="00E24A4E"/>
    <w:rsid w:val="00E24CF7"/>
    <w:rsid w:val="00E27EE0"/>
    <w:rsid w:val="00E3015E"/>
    <w:rsid w:val="00E310D8"/>
    <w:rsid w:val="00E3665C"/>
    <w:rsid w:val="00E37A79"/>
    <w:rsid w:val="00E41BB8"/>
    <w:rsid w:val="00E4510E"/>
    <w:rsid w:val="00E47F9C"/>
    <w:rsid w:val="00E520C4"/>
    <w:rsid w:val="00E57D6B"/>
    <w:rsid w:val="00E62949"/>
    <w:rsid w:val="00E645FE"/>
    <w:rsid w:val="00E672C9"/>
    <w:rsid w:val="00E775BD"/>
    <w:rsid w:val="00E8054B"/>
    <w:rsid w:val="00E81F4F"/>
    <w:rsid w:val="00E830DB"/>
    <w:rsid w:val="00E84237"/>
    <w:rsid w:val="00E87A9C"/>
    <w:rsid w:val="00E90787"/>
    <w:rsid w:val="00E92F71"/>
    <w:rsid w:val="00E93EE6"/>
    <w:rsid w:val="00E95A49"/>
    <w:rsid w:val="00E9684A"/>
    <w:rsid w:val="00E96F0E"/>
    <w:rsid w:val="00EA2961"/>
    <w:rsid w:val="00EA3DE8"/>
    <w:rsid w:val="00EA42D5"/>
    <w:rsid w:val="00EA7030"/>
    <w:rsid w:val="00EA73FE"/>
    <w:rsid w:val="00EB0F4D"/>
    <w:rsid w:val="00EB1346"/>
    <w:rsid w:val="00EB1615"/>
    <w:rsid w:val="00EB1C44"/>
    <w:rsid w:val="00EB269C"/>
    <w:rsid w:val="00EB27D3"/>
    <w:rsid w:val="00EB2932"/>
    <w:rsid w:val="00EB4562"/>
    <w:rsid w:val="00EB496B"/>
    <w:rsid w:val="00EC228C"/>
    <w:rsid w:val="00EC42BF"/>
    <w:rsid w:val="00EC538D"/>
    <w:rsid w:val="00EC5583"/>
    <w:rsid w:val="00EC558F"/>
    <w:rsid w:val="00ED58E5"/>
    <w:rsid w:val="00ED62B6"/>
    <w:rsid w:val="00ED6CB2"/>
    <w:rsid w:val="00EE49D4"/>
    <w:rsid w:val="00EE63D1"/>
    <w:rsid w:val="00EE7D68"/>
    <w:rsid w:val="00EF28E5"/>
    <w:rsid w:val="00EF673B"/>
    <w:rsid w:val="00F04546"/>
    <w:rsid w:val="00F05229"/>
    <w:rsid w:val="00F10C10"/>
    <w:rsid w:val="00F11F0B"/>
    <w:rsid w:val="00F12BC2"/>
    <w:rsid w:val="00F13AF2"/>
    <w:rsid w:val="00F14E0B"/>
    <w:rsid w:val="00F22F84"/>
    <w:rsid w:val="00F2415F"/>
    <w:rsid w:val="00F25A39"/>
    <w:rsid w:val="00F268BF"/>
    <w:rsid w:val="00F304DB"/>
    <w:rsid w:val="00F32BB2"/>
    <w:rsid w:val="00F33CDA"/>
    <w:rsid w:val="00F442AD"/>
    <w:rsid w:val="00F524F2"/>
    <w:rsid w:val="00F63EC9"/>
    <w:rsid w:val="00F6545B"/>
    <w:rsid w:val="00F675AE"/>
    <w:rsid w:val="00F75180"/>
    <w:rsid w:val="00F779E0"/>
    <w:rsid w:val="00F8029E"/>
    <w:rsid w:val="00F83687"/>
    <w:rsid w:val="00F83BF1"/>
    <w:rsid w:val="00F84923"/>
    <w:rsid w:val="00F8611C"/>
    <w:rsid w:val="00F8702E"/>
    <w:rsid w:val="00F91F9A"/>
    <w:rsid w:val="00F95C92"/>
    <w:rsid w:val="00F97CE1"/>
    <w:rsid w:val="00FA1DB0"/>
    <w:rsid w:val="00FA2659"/>
    <w:rsid w:val="00FB1343"/>
    <w:rsid w:val="00FB1B35"/>
    <w:rsid w:val="00FC103F"/>
    <w:rsid w:val="00FC1289"/>
    <w:rsid w:val="00FD07AD"/>
    <w:rsid w:val="00FD2F59"/>
    <w:rsid w:val="00FD3BA4"/>
    <w:rsid w:val="00FD5313"/>
    <w:rsid w:val="00FD54C0"/>
    <w:rsid w:val="00FD5630"/>
    <w:rsid w:val="00FD6B9B"/>
    <w:rsid w:val="00FE2EC2"/>
    <w:rsid w:val="00FE302B"/>
    <w:rsid w:val="00FE4369"/>
    <w:rsid w:val="00FE5096"/>
    <w:rsid w:val="00FE7897"/>
    <w:rsid w:val="00FF04FC"/>
    <w:rsid w:val="00FF131C"/>
    <w:rsid w:val="00FF4C5C"/>
    <w:rsid w:val="00FF6453"/>
    <w:rsid w:val="037C05B3"/>
    <w:rsid w:val="13035411"/>
    <w:rsid w:val="260D3FB8"/>
    <w:rsid w:val="27B2048C"/>
    <w:rsid w:val="297D752F"/>
    <w:rsid w:val="2A174387"/>
    <w:rsid w:val="2EED5606"/>
    <w:rsid w:val="3044485A"/>
    <w:rsid w:val="390035B3"/>
    <w:rsid w:val="3979400D"/>
    <w:rsid w:val="3CB9790C"/>
    <w:rsid w:val="44077800"/>
    <w:rsid w:val="4B9E7576"/>
    <w:rsid w:val="508A578A"/>
    <w:rsid w:val="54FB680C"/>
    <w:rsid w:val="58F968E8"/>
    <w:rsid w:val="59100165"/>
    <w:rsid w:val="5B152C85"/>
    <w:rsid w:val="5D9E6F62"/>
    <w:rsid w:val="65963C6B"/>
    <w:rsid w:val="65E03011"/>
    <w:rsid w:val="68564FDF"/>
    <w:rsid w:val="6D094CEF"/>
    <w:rsid w:val="6D0C01A5"/>
    <w:rsid w:val="6DFF0D07"/>
    <w:rsid w:val="716F1AD0"/>
    <w:rsid w:val="76B6098D"/>
    <w:rsid w:val="7E1B0EBC"/>
    <w:rsid w:val="7E467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19"/>
    <w:qFormat/>
    <w:uiPriority w:val="0"/>
    <w:pPr>
      <w:keepNext/>
      <w:keepLines/>
      <w:spacing w:before="100" w:beforeAutospacing="1" w:line="408" w:lineRule="auto"/>
      <w:outlineLvl w:val="1"/>
    </w:pPr>
    <w:rPr>
      <w:rFonts w:ascii="Arial" w:hAnsi="Arial" w:eastAsia="黑体"/>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qFormat/>
    <w:uiPriority w:val="0"/>
    <w:pPr>
      <w:spacing w:after="120"/>
    </w:pPr>
    <w:rPr>
      <w:kern w:val="0"/>
      <w:sz w:val="20"/>
    </w:rPr>
  </w:style>
  <w:style w:type="paragraph" w:styleId="5">
    <w:name w:val="Body Text Indent"/>
    <w:basedOn w:val="1"/>
    <w:link w:val="21"/>
    <w:qFormat/>
    <w:uiPriority w:val="0"/>
    <w:pPr>
      <w:spacing w:line="400" w:lineRule="exact"/>
      <w:ind w:left="2110" w:leftChars="333" w:hanging="1411" w:hangingChars="588"/>
    </w:pPr>
    <w:rPr>
      <w:rFonts w:ascii="宋体" w:hAnsi="宋体"/>
      <w:color w:val="000000"/>
      <w:kern w:val="0"/>
      <w:sz w:val="24"/>
    </w:rPr>
  </w:style>
  <w:style w:type="paragraph" w:styleId="6">
    <w:name w:val="Date"/>
    <w:basedOn w:val="1"/>
    <w:next w:val="1"/>
    <w:link w:val="25"/>
    <w:qFormat/>
    <w:uiPriority w:val="0"/>
    <w:pPr>
      <w:ind w:left="100" w:leftChars="2500"/>
    </w:pPr>
    <w:rPr>
      <w:kern w:val="0"/>
      <w:sz w:val="20"/>
    </w:rPr>
  </w:style>
  <w:style w:type="paragraph" w:styleId="7">
    <w:name w:val="Body Text Indent 2"/>
    <w:basedOn w:val="1"/>
    <w:link w:val="20"/>
    <w:qFormat/>
    <w:uiPriority w:val="0"/>
    <w:pPr>
      <w:spacing w:after="120" w:line="480" w:lineRule="auto"/>
      <w:ind w:left="420" w:leftChars="200"/>
    </w:pPr>
    <w:rPr>
      <w:kern w:val="0"/>
      <w:sz w:val="20"/>
    </w:rPr>
  </w:style>
  <w:style w:type="paragraph" w:styleId="8">
    <w:name w:val="Balloon Text"/>
    <w:basedOn w:val="1"/>
    <w:link w:val="23"/>
    <w:semiHidden/>
    <w:qFormat/>
    <w:uiPriority w:val="0"/>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kern w:val="0"/>
      <w:sz w:val="24"/>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qFormat/>
    <w:uiPriority w:val="99"/>
    <w:rPr>
      <w:b/>
      <w:bCs/>
    </w:rPr>
  </w:style>
  <w:style w:type="character" w:styleId="16">
    <w:name w:val="page number"/>
    <w:basedOn w:val="14"/>
    <w:qFormat/>
    <w:uiPriority w:val="0"/>
  </w:style>
  <w:style w:type="character" w:styleId="17">
    <w:name w:val="FollowedHyperlink"/>
    <w:qFormat/>
    <w:uiPriority w:val="99"/>
    <w:rPr>
      <w:color w:val="800080"/>
      <w:u w:val="single"/>
    </w:rPr>
  </w:style>
  <w:style w:type="character" w:styleId="18">
    <w:name w:val="Hyperlink"/>
    <w:qFormat/>
    <w:uiPriority w:val="99"/>
    <w:rPr>
      <w:color w:val="0000FF"/>
      <w:u w:val="single"/>
    </w:rPr>
  </w:style>
  <w:style w:type="character" w:customStyle="1" w:styleId="19">
    <w:name w:val="标题 2 字符"/>
    <w:link w:val="3"/>
    <w:qFormat/>
    <w:uiPriority w:val="0"/>
    <w:rPr>
      <w:rFonts w:ascii="Arial" w:hAnsi="Arial" w:eastAsia="黑体" w:cs="Times New Roman"/>
      <w:b/>
      <w:bCs/>
      <w:sz w:val="32"/>
      <w:szCs w:val="32"/>
    </w:rPr>
  </w:style>
  <w:style w:type="character" w:customStyle="1" w:styleId="20">
    <w:name w:val="正文文本缩进 2 字符"/>
    <w:link w:val="7"/>
    <w:qFormat/>
    <w:uiPriority w:val="0"/>
    <w:rPr>
      <w:rFonts w:ascii="Times New Roman" w:hAnsi="Times New Roman" w:eastAsia="宋体" w:cs="Times New Roman"/>
      <w:szCs w:val="24"/>
    </w:rPr>
  </w:style>
  <w:style w:type="character" w:customStyle="1" w:styleId="21">
    <w:name w:val="正文文本缩进 字符"/>
    <w:link w:val="5"/>
    <w:qFormat/>
    <w:uiPriority w:val="0"/>
    <w:rPr>
      <w:rFonts w:ascii="宋体" w:hAnsi="宋体" w:eastAsia="宋体" w:cs="Times New Roman"/>
      <w:color w:val="000000"/>
      <w:kern w:val="0"/>
      <w:sz w:val="24"/>
      <w:szCs w:val="24"/>
    </w:rPr>
  </w:style>
  <w:style w:type="character" w:customStyle="1" w:styleId="22">
    <w:name w:val="标题 1 字符"/>
    <w:link w:val="2"/>
    <w:qFormat/>
    <w:uiPriority w:val="0"/>
    <w:rPr>
      <w:rFonts w:ascii="宋体" w:hAnsi="宋体" w:eastAsia="宋体" w:cs="Times New Roman"/>
      <w:b/>
      <w:bCs/>
      <w:kern w:val="36"/>
      <w:sz w:val="48"/>
      <w:szCs w:val="48"/>
    </w:rPr>
  </w:style>
  <w:style w:type="character" w:customStyle="1" w:styleId="23">
    <w:name w:val="批注框文本 字符"/>
    <w:link w:val="8"/>
    <w:semiHidden/>
    <w:qFormat/>
    <w:uiPriority w:val="0"/>
    <w:rPr>
      <w:rFonts w:ascii="Times New Roman" w:hAnsi="Times New Roman" w:eastAsia="宋体" w:cs="Times New Roman"/>
      <w:sz w:val="18"/>
      <w:szCs w:val="18"/>
    </w:rPr>
  </w:style>
  <w:style w:type="character" w:customStyle="1" w:styleId="24">
    <w:name w:val="正文文本 字符"/>
    <w:link w:val="4"/>
    <w:qFormat/>
    <w:uiPriority w:val="0"/>
    <w:rPr>
      <w:rFonts w:ascii="Times New Roman" w:hAnsi="Times New Roman" w:eastAsia="宋体" w:cs="Times New Roman"/>
      <w:szCs w:val="24"/>
    </w:rPr>
  </w:style>
  <w:style w:type="character" w:customStyle="1" w:styleId="25">
    <w:name w:val="日期 字符"/>
    <w:link w:val="6"/>
    <w:qFormat/>
    <w:uiPriority w:val="0"/>
    <w:rPr>
      <w:rFonts w:ascii="Times New Roman" w:hAnsi="Times New Roman" w:eastAsia="宋体" w:cs="Times New Roman"/>
      <w:szCs w:val="24"/>
    </w:rPr>
  </w:style>
  <w:style w:type="character" w:customStyle="1" w:styleId="26">
    <w:name w:val="页脚 字符"/>
    <w:link w:val="9"/>
    <w:qFormat/>
    <w:uiPriority w:val="99"/>
    <w:rPr>
      <w:sz w:val="18"/>
      <w:szCs w:val="18"/>
    </w:rPr>
  </w:style>
  <w:style w:type="character" w:customStyle="1" w:styleId="27">
    <w:name w:val="页眉 字符"/>
    <w:link w:val="10"/>
    <w:qFormat/>
    <w:uiPriority w:val="0"/>
    <w:rPr>
      <w:sz w:val="18"/>
      <w:szCs w:val="18"/>
    </w:rPr>
  </w:style>
  <w:style w:type="character" w:customStyle="1" w:styleId="28">
    <w:name w:val="font81"/>
    <w:qFormat/>
    <w:uiPriority w:val="0"/>
    <w:rPr>
      <w:rFonts w:hint="eastAsia" w:ascii="宋体" w:hAnsi="宋体" w:eastAsia="宋体" w:cs="宋体"/>
      <w:color w:val="000000"/>
      <w:sz w:val="20"/>
      <w:szCs w:val="20"/>
      <w:u w:val="none"/>
    </w:rPr>
  </w:style>
  <w:style w:type="paragraph" w:customStyle="1" w:styleId="2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0">
    <w:name w:val="xl95"/>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6"/>
      <w:szCs w:val="16"/>
    </w:rPr>
  </w:style>
  <w:style w:type="paragraph" w:customStyle="1" w:styleId="32">
    <w:name w:val="xl83"/>
    <w:basedOn w:val="1"/>
    <w:qFormat/>
    <w:uiPriority w:val="0"/>
    <w:pPr>
      <w:widowControl/>
      <w:pBdr>
        <w:top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3">
    <w:name w:val="xl89"/>
    <w:basedOn w:val="1"/>
    <w:qFormat/>
    <w:uiPriority w:val="0"/>
    <w:pPr>
      <w:widowControl/>
      <w:pBdr>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34">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35">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8"/>
      <w:szCs w:val="18"/>
    </w:rPr>
  </w:style>
  <w:style w:type="paragraph" w:customStyle="1" w:styleId="3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8">
    <w:name w:val="xl10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9">
    <w:name w:val="目录 11"/>
    <w:basedOn w:val="1"/>
    <w:next w:val="1"/>
    <w:semiHidden/>
    <w:qFormat/>
    <w:uiPriority w:val="0"/>
  </w:style>
  <w:style w:type="paragraph" w:customStyle="1" w:styleId="40">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1">
    <w:name w:val="xl99"/>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4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color w:val="000000"/>
      <w:kern w:val="0"/>
      <w:sz w:val="18"/>
      <w:szCs w:val="18"/>
    </w:rPr>
  </w:style>
  <w:style w:type="paragraph" w:customStyle="1" w:styleId="4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24"/>
    </w:rPr>
  </w:style>
  <w:style w:type="paragraph" w:customStyle="1" w:styleId="44">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7">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8">
    <w:name w:val="xl9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5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1">
    <w:name w:val="xl55"/>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2">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3">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b/>
      <w:bCs/>
      <w:color w:val="000000"/>
      <w:kern w:val="0"/>
      <w:sz w:val="18"/>
      <w:szCs w:val="18"/>
    </w:rPr>
  </w:style>
  <w:style w:type="paragraph" w:customStyle="1" w:styleId="55">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57">
    <w:name w:val="xl112"/>
    <w:basedOn w:val="1"/>
    <w:qFormat/>
    <w:uiPriority w:val="0"/>
    <w:pPr>
      <w:widowControl/>
      <w:pBdr>
        <w:top w:val="single" w:color="auto" w:sz="4" w:space="0"/>
        <w:left w:val="single" w:color="auto" w:sz="4" w:space="0"/>
        <w:bottom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58">
    <w:name w:val="xl39"/>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59">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Arial Unicode MS" w:hAnsi="Arial Unicode MS" w:eastAsia="Arial Unicode MS" w:cs="Arial Unicode MS"/>
      <w:b/>
      <w:bCs/>
      <w:color w:val="000000"/>
      <w:kern w:val="0"/>
      <w:sz w:val="18"/>
      <w:szCs w:val="18"/>
    </w:rPr>
  </w:style>
  <w:style w:type="paragraph" w:customStyle="1" w:styleId="6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61">
    <w:name w:val="xl71"/>
    <w:basedOn w:val="1"/>
    <w:qFormat/>
    <w:uiPriority w:val="0"/>
    <w:pPr>
      <w:widowControl/>
      <w:spacing w:before="100" w:beforeAutospacing="1" w:after="100" w:afterAutospacing="1"/>
      <w:jc w:val="center"/>
      <w:textAlignment w:val="center"/>
    </w:pPr>
    <w:rPr>
      <w:rFonts w:ascii="宋体" w:hAnsi="宋体" w:cs="宋体"/>
      <w:b/>
      <w:bCs/>
      <w:kern w:val="0"/>
      <w:sz w:val="18"/>
      <w:szCs w:val="18"/>
    </w:rPr>
  </w:style>
  <w:style w:type="paragraph" w:customStyle="1" w:styleId="62">
    <w:name w:val="xl6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63">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4">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6">
    <w:name w:val="xl58"/>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24"/>
    </w:rPr>
  </w:style>
  <w:style w:type="paragraph" w:customStyle="1" w:styleId="67">
    <w:name w:val="xl74"/>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68">
    <w:name w:val="xl53"/>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6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71">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72">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3">
    <w:name w:val="xl54"/>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75">
    <w:name w:val="xl52"/>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7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8">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79">
    <w:name w:val="xl69"/>
    <w:basedOn w:val="1"/>
    <w:qFormat/>
    <w:uiPriority w:val="0"/>
    <w:pPr>
      <w:widowControl/>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8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1">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3">
    <w:name w:val="xl73"/>
    <w:basedOn w:val="1"/>
    <w:qFormat/>
    <w:uiPriority w:val="0"/>
    <w:pPr>
      <w:widowControl/>
      <w:spacing w:before="100" w:beforeAutospacing="1" w:after="100" w:afterAutospacing="1"/>
      <w:jc w:val="center"/>
      <w:textAlignment w:val="center"/>
    </w:pPr>
    <w:rPr>
      <w:rFonts w:ascii="宋体" w:hAnsi="宋体" w:cs="宋体"/>
      <w:b/>
      <w:bCs/>
      <w:color w:val="000000"/>
      <w:kern w:val="0"/>
      <w:sz w:val="24"/>
    </w:rPr>
  </w:style>
  <w:style w:type="paragraph" w:customStyle="1" w:styleId="8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85">
    <w:name w:val="xl101"/>
    <w:basedOn w:val="1"/>
    <w:qFormat/>
    <w:uiPriority w:val="0"/>
    <w:pPr>
      <w:widowControl/>
      <w:spacing w:before="100" w:beforeAutospacing="1" w:after="100" w:afterAutospacing="1"/>
      <w:jc w:val="left"/>
    </w:pPr>
    <w:rPr>
      <w:rFonts w:ascii="宋体" w:hAnsi="宋体" w:cs="宋体"/>
      <w:b/>
      <w:bCs/>
      <w:kern w:val="0"/>
      <w:sz w:val="18"/>
      <w:szCs w:val="18"/>
    </w:rPr>
  </w:style>
  <w:style w:type="paragraph" w:customStyle="1" w:styleId="86">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8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88">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89">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9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6"/>
      <w:szCs w:val="16"/>
    </w:rPr>
  </w:style>
  <w:style w:type="paragraph" w:customStyle="1" w:styleId="91">
    <w:name w:val="xl10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82"/>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93">
    <w:name w:val="xl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94">
    <w:name w:val="xl100"/>
    <w:basedOn w:val="1"/>
    <w:qFormat/>
    <w:uiPriority w:val="0"/>
    <w:pPr>
      <w:widowControl/>
      <w:spacing w:before="100" w:beforeAutospacing="1" w:after="100" w:afterAutospacing="1"/>
      <w:jc w:val="center"/>
    </w:pPr>
    <w:rPr>
      <w:rFonts w:ascii="宋体" w:hAnsi="宋体" w:cs="宋体"/>
      <w:b/>
      <w:bCs/>
      <w:color w:val="000000"/>
      <w:kern w:val="0"/>
      <w:sz w:val="18"/>
      <w:szCs w:val="18"/>
    </w:rPr>
  </w:style>
  <w:style w:type="paragraph" w:customStyle="1" w:styleId="95">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9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18"/>
      <w:szCs w:val="18"/>
    </w:rPr>
  </w:style>
  <w:style w:type="paragraph" w:customStyle="1" w:styleId="98">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9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10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01">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02">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103">
    <w:name w:val="Char Char Char"/>
    <w:basedOn w:val="1"/>
    <w:qFormat/>
    <w:uiPriority w:val="0"/>
    <w:rPr>
      <w:rFonts w:ascii="Tahoma" w:hAnsi="Tahoma"/>
      <w:sz w:val="24"/>
      <w:szCs w:val="20"/>
    </w:rPr>
  </w:style>
  <w:style w:type="paragraph" w:customStyle="1" w:styleId="10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5">
    <w:name w:val="样式2"/>
    <w:basedOn w:val="1"/>
    <w:qFormat/>
    <w:uiPriority w:val="0"/>
    <w:pPr>
      <w:spacing w:line="440" w:lineRule="exact"/>
      <w:ind w:firstLine="432"/>
    </w:pPr>
    <w:rPr>
      <w:rFonts w:ascii="宋体" w:hAnsi="宋体"/>
      <w:b/>
      <w:color w:val="FF00FF"/>
      <w:sz w:val="24"/>
    </w:rPr>
  </w:style>
  <w:style w:type="paragraph" w:customStyle="1" w:styleId="106">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107">
    <w:name w:val="xl70"/>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08">
    <w:name w:val="xl72"/>
    <w:basedOn w:val="1"/>
    <w:qFormat/>
    <w:uiPriority w:val="0"/>
    <w:pPr>
      <w:widowControl/>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09">
    <w:name w:val="xl75"/>
    <w:basedOn w:val="1"/>
    <w:qFormat/>
    <w:uiPriority w:val="0"/>
    <w:pPr>
      <w:widowControl/>
      <w:spacing w:before="100" w:beforeAutospacing="1" w:after="100" w:afterAutospacing="1"/>
      <w:jc w:val="left"/>
      <w:textAlignment w:val="center"/>
    </w:pPr>
    <w:rPr>
      <w:rFonts w:ascii="宋体" w:hAnsi="宋体" w:cs="宋体"/>
      <w:b/>
      <w:bCs/>
      <w:color w:val="000000"/>
      <w:kern w:val="0"/>
      <w:sz w:val="24"/>
    </w:rPr>
  </w:style>
  <w:style w:type="paragraph" w:customStyle="1" w:styleId="110">
    <w:name w:val="xl10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13">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16"/>
      <w:szCs w:val="16"/>
    </w:rPr>
  </w:style>
  <w:style w:type="paragraph" w:customStyle="1" w:styleId="114">
    <w:name w:val="xl8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115">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6"/>
      <w:szCs w:val="16"/>
    </w:rPr>
  </w:style>
  <w:style w:type="paragraph" w:customStyle="1" w:styleId="116">
    <w:name w:val="font7"/>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118">
    <w:name w:val="font6"/>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9">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2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1">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22">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3">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124">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5">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26">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127">
    <w:name w:val="xl121"/>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128">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29">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0">
    <w:name w:val="xl124"/>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1">
    <w:name w:val="xl125"/>
    <w:basedOn w:val="1"/>
    <w:qFormat/>
    <w:uiPriority w:val="0"/>
    <w:pPr>
      <w:widowControl/>
      <w:pBdr>
        <w:lef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2">
    <w:name w:val="xl12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133">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Company>
  <Pages>5</Pages>
  <Words>3506</Words>
  <Characters>3655</Characters>
  <Lines>21</Lines>
  <Paragraphs>5</Paragraphs>
  <TotalTime>8</TotalTime>
  <ScaleCrop>false</ScaleCrop>
  <LinksUpToDate>false</LinksUpToDate>
  <CharactersWithSpaces>3662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2022-03-29T03:43:00Z</dcterms:created>
  <dc:creator>饶晶</dc:creator>
  <cp:lastModifiedBy>毛星宁</cp:lastModifiedBy>
  <cp:lastPrinted>2016-05-13T07:25:00Z</cp:lastPrinted>
  <dcterms:modified xsi:type="dcterms:W3CDTF">2023-07-03T13:24:05Z</dcterms:modified>
  <cp:revision>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31442E92E63A4F82A1906ADC3561AE2B</vt:lpwstr>
  </property>
</Properties>
</file>