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54985">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14:paraId="096998EA">
      <w:pPr>
        <w:tabs>
          <w:tab w:val="left" w:pos="4740"/>
        </w:tabs>
        <w:spacing w:line="620" w:lineRule="exact"/>
        <w:jc w:val="center"/>
        <w:rPr>
          <w:rFonts w:hint="eastAsia" w:ascii="方正小标宋简体" w:hAnsi="Times New Roman" w:eastAsia="方正小标宋简体"/>
          <w:bCs/>
          <w:kern w:val="36"/>
          <w:sz w:val="44"/>
          <w:szCs w:val="44"/>
        </w:rPr>
      </w:pPr>
      <w:r>
        <w:rPr>
          <w:rFonts w:hint="eastAsia" w:ascii="方正小标宋简体" w:hAnsi="Times New Roman" w:eastAsia="方正小标宋简体"/>
          <w:bCs/>
          <w:kern w:val="36"/>
          <w:sz w:val="44"/>
          <w:szCs w:val="44"/>
        </w:rPr>
        <w:t>本科教育教学审核评估</w:t>
      </w:r>
      <w:r>
        <w:rPr>
          <w:rFonts w:hint="eastAsia" w:ascii="方正小标宋简体" w:hAnsi="Times New Roman" w:eastAsia="方正小标宋简体"/>
          <w:bCs/>
          <w:kern w:val="36"/>
          <w:sz w:val="44"/>
          <w:szCs w:val="44"/>
          <w:lang w:val="en-US" w:eastAsia="zh-CN"/>
        </w:rPr>
        <w:t>中期</w:t>
      </w:r>
      <w:r>
        <w:rPr>
          <w:rFonts w:hint="eastAsia" w:ascii="方正小标宋简体" w:hAnsi="Times New Roman" w:eastAsia="方正小标宋简体"/>
          <w:bCs/>
          <w:kern w:val="36"/>
          <w:sz w:val="44"/>
          <w:szCs w:val="44"/>
        </w:rPr>
        <w:t>整改</w:t>
      </w:r>
      <w:r>
        <w:rPr>
          <w:rFonts w:hint="eastAsia" w:ascii="方正小标宋简体" w:hAnsi="Times New Roman" w:eastAsia="方正小标宋简体"/>
          <w:bCs/>
          <w:kern w:val="36"/>
          <w:sz w:val="44"/>
          <w:szCs w:val="44"/>
          <w:lang w:val="en-US" w:eastAsia="zh-CN"/>
        </w:rPr>
        <w:t>情况</w:t>
      </w:r>
      <w:r>
        <w:rPr>
          <w:rFonts w:hint="eastAsia" w:ascii="方正小标宋简体" w:hAnsi="Times New Roman" w:eastAsia="方正小标宋简体"/>
          <w:bCs/>
          <w:kern w:val="36"/>
          <w:sz w:val="44"/>
          <w:szCs w:val="44"/>
        </w:rPr>
        <w:t>报告</w:t>
      </w:r>
    </w:p>
    <w:p w14:paraId="323909BB">
      <w:pPr>
        <w:tabs>
          <w:tab w:val="left" w:pos="4740"/>
        </w:tabs>
        <w:spacing w:line="62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（模板）</w:t>
      </w:r>
    </w:p>
    <w:p w14:paraId="0A3E67AD">
      <w:pPr>
        <w:widowControl/>
        <w:spacing w:line="560" w:lineRule="exact"/>
        <w:ind w:firstLine="640"/>
        <w:rPr>
          <w:rFonts w:hint="eastAsia" w:ascii="仿宋" w:hAnsi="仿宋" w:eastAsia="仿宋" w:cs="宋体"/>
          <w:kern w:val="0"/>
          <w:sz w:val="32"/>
          <w:szCs w:val="32"/>
        </w:rPr>
      </w:pPr>
    </w:p>
    <w:p w14:paraId="03F4981E">
      <w:pPr>
        <w:spacing w:line="560" w:lineRule="exact"/>
        <w:ind w:firstLine="643" w:firstLineChars="200"/>
        <w:rPr>
          <w:rFonts w:hint="eastAsia" w:ascii="仿宋" w:hAnsi="仿宋" w:eastAsia="仿宋"/>
          <w:b w:val="0"/>
          <w:bCs w:val="0"/>
          <w:sz w:val="32"/>
          <w:szCs w:val="32"/>
        </w:rPr>
      </w:pPr>
      <w:bookmarkStart w:id="0" w:name="_Hlk192689585"/>
      <w:r>
        <w:rPr>
          <w:rFonts w:hint="eastAsia" w:ascii="仿宋" w:hAnsi="仿宋" w:eastAsia="仿宋"/>
          <w:b/>
          <w:bCs/>
          <w:sz w:val="32"/>
          <w:szCs w:val="32"/>
        </w:rPr>
        <w:t>撰写说明：</w:t>
      </w:r>
      <w:bookmarkStart w:id="1" w:name="_Hlk192689752"/>
      <w:r>
        <w:rPr>
          <w:rFonts w:hint="eastAsia" w:ascii="仿宋" w:hAnsi="仿宋" w:eastAsia="仿宋"/>
          <w:sz w:val="32"/>
          <w:szCs w:val="32"/>
        </w:rPr>
        <w:t>各单位要对照《</w:t>
      </w:r>
      <w:r>
        <w:rPr>
          <w:rFonts w:hint="eastAsia" w:ascii="仿宋" w:hAnsi="仿宋" w:eastAsia="仿宋" w:cs="Times New Roman"/>
          <w:sz w:val="32"/>
          <w:szCs w:val="32"/>
          <w:lang w:val="en-US" w:eastAsia="zh-CN"/>
        </w:rPr>
        <w:t>整改方案</w:t>
      </w:r>
      <w:r>
        <w:rPr>
          <w:rFonts w:hint="eastAsia" w:ascii="仿宋" w:hAnsi="仿宋" w:eastAsia="仿宋"/>
          <w:sz w:val="32"/>
          <w:szCs w:val="32"/>
        </w:rPr>
        <w:t>》</w:t>
      </w:r>
      <w:r>
        <w:rPr>
          <w:rFonts w:hint="eastAsia" w:ascii="仿宋" w:hAnsi="仿宋" w:eastAsia="仿宋"/>
          <w:sz w:val="32"/>
          <w:szCs w:val="32"/>
          <w:lang w:val="en-US" w:eastAsia="zh-CN"/>
        </w:rPr>
        <w:t>中的整改问题清单、整改目标、整改任务和</w:t>
      </w:r>
      <w:r>
        <w:rPr>
          <w:rFonts w:hint="eastAsia" w:ascii="仿宋" w:hAnsi="仿宋" w:eastAsia="仿宋"/>
          <w:sz w:val="32"/>
          <w:szCs w:val="32"/>
        </w:rPr>
        <w:t>《</w:t>
      </w:r>
      <w:r>
        <w:rPr>
          <w:rFonts w:hint="eastAsia" w:ascii="仿宋" w:hAnsi="仿宋" w:eastAsia="仿宋"/>
          <w:sz w:val="32"/>
          <w:szCs w:val="32"/>
          <w:lang w:val="en-US" w:eastAsia="zh-CN"/>
        </w:rPr>
        <w:t>整改工作台账</w:t>
      </w:r>
      <w:r>
        <w:rPr>
          <w:rFonts w:hint="eastAsia" w:ascii="仿宋" w:hAnsi="仿宋" w:eastAsia="仿宋"/>
          <w:sz w:val="32"/>
          <w:szCs w:val="32"/>
        </w:rPr>
        <w:t>》</w:t>
      </w:r>
      <w:r>
        <w:rPr>
          <w:rFonts w:hint="eastAsia" w:ascii="仿宋" w:hAnsi="仿宋" w:eastAsia="仿宋"/>
          <w:sz w:val="32"/>
          <w:szCs w:val="32"/>
          <w:lang w:val="en-US" w:eastAsia="zh-CN"/>
        </w:rPr>
        <w:t>等</w:t>
      </w:r>
      <w:r>
        <w:rPr>
          <w:rFonts w:hint="eastAsia" w:ascii="仿宋" w:hAnsi="仿宋" w:eastAsia="仿宋"/>
          <w:sz w:val="32"/>
          <w:szCs w:val="32"/>
        </w:rPr>
        <w:t>，</w:t>
      </w:r>
      <w:r>
        <w:rPr>
          <w:rFonts w:hint="eastAsia" w:ascii="仿宋" w:hAnsi="仿宋" w:eastAsia="仿宋"/>
          <w:sz w:val="32"/>
          <w:szCs w:val="32"/>
          <w:lang w:val="en-US" w:eastAsia="zh-CN"/>
        </w:rPr>
        <w:t>逐项</w:t>
      </w:r>
      <w:r>
        <w:rPr>
          <w:rFonts w:hint="eastAsia" w:ascii="仿宋" w:hAnsi="仿宋" w:eastAsia="仿宋"/>
          <w:sz w:val="32"/>
          <w:szCs w:val="32"/>
        </w:rPr>
        <w:t>梳理总结自202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整改工作启动</w:t>
      </w:r>
      <w:r>
        <w:rPr>
          <w:rFonts w:hint="eastAsia" w:ascii="仿宋" w:hAnsi="仿宋" w:eastAsia="仿宋"/>
          <w:sz w:val="32"/>
          <w:szCs w:val="32"/>
        </w:rPr>
        <w:t>以来</w:t>
      </w:r>
      <w:r>
        <w:rPr>
          <w:rFonts w:hint="eastAsia" w:ascii="仿宋" w:hAnsi="仿宋" w:eastAsia="仿宋"/>
          <w:sz w:val="32"/>
          <w:szCs w:val="32"/>
          <w:lang w:val="en-US" w:eastAsia="zh-CN"/>
        </w:rPr>
        <w:t>至今</w:t>
      </w:r>
      <w:r>
        <w:rPr>
          <w:rFonts w:hint="eastAsia" w:ascii="仿宋" w:hAnsi="仿宋" w:eastAsia="仿宋"/>
          <w:sz w:val="32"/>
          <w:szCs w:val="32"/>
        </w:rPr>
        <w:t>的整改工作及成效，重点描述所采取的整改举措、目前的进展、取得的成效、尚未解决的问题及下一步工作计划。报告内容要突出亮点、特色，文字精练、数据准确，</w:t>
      </w:r>
      <w:r>
        <w:rPr>
          <w:rFonts w:hint="eastAsia" w:ascii="仿宋" w:hAnsi="仿宋" w:eastAsia="仿宋"/>
          <w:b w:val="0"/>
          <w:bCs w:val="0"/>
          <w:sz w:val="32"/>
          <w:szCs w:val="32"/>
        </w:rPr>
        <w:t>每个整改</w:t>
      </w:r>
      <w:r>
        <w:rPr>
          <w:rFonts w:hint="eastAsia" w:ascii="仿宋" w:hAnsi="仿宋" w:eastAsia="仿宋"/>
          <w:b w:val="0"/>
          <w:bCs w:val="0"/>
          <w:sz w:val="32"/>
          <w:szCs w:val="32"/>
          <w:lang w:val="en-US" w:eastAsia="zh-CN"/>
        </w:rPr>
        <w:t>问题的</w:t>
      </w:r>
      <w:r>
        <w:rPr>
          <w:rFonts w:hint="eastAsia" w:ascii="仿宋" w:hAnsi="仿宋" w:eastAsia="仿宋"/>
          <w:b w:val="0"/>
          <w:bCs w:val="0"/>
          <w:sz w:val="32"/>
          <w:szCs w:val="32"/>
        </w:rPr>
        <w:t>字数控制在</w:t>
      </w:r>
      <w:r>
        <w:rPr>
          <w:rFonts w:hint="eastAsia" w:ascii="仿宋" w:hAnsi="仿宋" w:eastAsia="仿宋"/>
          <w:b w:val="0"/>
          <w:bCs w:val="0"/>
          <w:sz w:val="32"/>
          <w:szCs w:val="32"/>
          <w:lang w:val="en-US" w:eastAsia="zh-CN"/>
        </w:rPr>
        <w:t>500</w:t>
      </w:r>
      <w:r>
        <w:rPr>
          <w:rFonts w:hint="eastAsia" w:ascii="仿宋" w:hAnsi="仿宋" w:eastAsia="仿宋"/>
          <w:b w:val="0"/>
          <w:bCs w:val="0"/>
          <w:sz w:val="32"/>
          <w:szCs w:val="32"/>
        </w:rPr>
        <w:t>字</w:t>
      </w:r>
      <w:bookmarkEnd w:id="1"/>
      <w:r>
        <w:rPr>
          <w:rFonts w:hint="eastAsia" w:ascii="仿宋" w:hAnsi="仿宋" w:eastAsia="仿宋"/>
          <w:b w:val="0"/>
          <w:bCs w:val="0"/>
          <w:sz w:val="32"/>
          <w:szCs w:val="32"/>
          <w:lang w:val="en-US" w:eastAsia="zh-CN"/>
        </w:rPr>
        <w:t>以内</w:t>
      </w:r>
      <w:r>
        <w:rPr>
          <w:rFonts w:hint="eastAsia" w:ascii="仿宋" w:hAnsi="仿宋" w:eastAsia="仿宋"/>
          <w:b w:val="0"/>
          <w:bCs w:val="0"/>
          <w:sz w:val="32"/>
          <w:szCs w:val="32"/>
        </w:rPr>
        <w:t>。</w:t>
      </w:r>
      <w:bookmarkEnd w:id="0"/>
    </w:p>
    <w:p w14:paraId="716470C3">
      <w:pPr>
        <w:widowControl/>
        <w:spacing w:line="560" w:lineRule="exact"/>
        <w:ind w:firstLine="640"/>
        <w:rPr>
          <w:rFonts w:hint="eastAsia" w:ascii="仿宋" w:hAnsi="仿宋" w:eastAsia="仿宋" w:cs="宋体"/>
          <w:kern w:val="0"/>
          <w:sz w:val="32"/>
          <w:szCs w:val="32"/>
        </w:rPr>
      </w:pPr>
    </w:p>
    <w:p w14:paraId="4E025DB6">
      <w:pPr>
        <w:spacing w:line="560" w:lineRule="exact"/>
        <w:ind w:firstLine="643" w:firstLineChars="200"/>
        <w:rPr>
          <w:rFonts w:hint="eastAsia" w:ascii="仿宋" w:hAnsi="仿宋" w:eastAsia="仿宋"/>
          <w:b/>
          <w:bCs/>
          <w:i/>
          <w:iCs/>
          <w:sz w:val="32"/>
          <w:szCs w:val="32"/>
          <w:u w:val="single"/>
          <w:lang w:eastAsia="zh-CN"/>
        </w:rPr>
      </w:pPr>
      <w:r>
        <w:rPr>
          <w:rFonts w:hint="eastAsia" w:ascii="仿宋" w:hAnsi="仿宋" w:eastAsia="仿宋"/>
          <w:b/>
          <w:bCs/>
          <w:i/>
          <w:iCs/>
          <w:sz w:val="32"/>
          <w:szCs w:val="32"/>
          <w:u w:val="single"/>
        </w:rPr>
        <w:t>问题1：思政课教师队伍有待优化。（</w:t>
      </w:r>
      <w:bookmarkStart w:id="2" w:name="_Hlk160693157"/>
      <w:r>
        <w:rPr>
          <w:rFonts w:hint="eastAsia" w:ascii="仿宋" w:hAnsi="仿宋" w:eastAsia="仿宋"/>
          <w:b/>
          <w:bCs/>
          <w:i/>
          <w:iCs/>
          <w:sz w:val="32"/>
          <w:szCs w:val="32"/>
          <w:u w:val="single"/>
        </w:rPr>
        <w:t>字数</w:t>
      </w:r>
      <w:r>
        <w:rPr>
          <w:rFonts w:hint="eastAsia" w:ascii="仿宋" w:hAnsi="仿宋" w:eastAsia="仿宋"/>
          <w:b/>
          <w:bCs/>
          <w:i/>
          <w:iCs/>
          <w:sz w:val="32"/>
          <w:szCs w:val="32"/>
          <w:u w:val="single"/>
          <w:lang w:val="en-US" w:eastAsia="zh-CN"/>
        </w:rPr>
        <w:t>控制</w:t>
      </w:r>
      <w:r>
        <w:rPr>
          <w:rFonts w:hint="eastAsia" w:ascii="仿宋" w:hAnsi="仿宋" w:eastAsia="仿宋"/>
          <w:b/>
          <w:bCs/>
          <w:i/>
          <w:iCs/>
          <w:sz w:val="32"/>
          <w:szCs w:val="32"/>
          <w:u w:val="single"/>
        </w:rPr>
        <w:t>在</w:t>
      </w:r>
      <w:r>
        <w:rPr>
          <w:rFonts w:hint="eastAsia" w:ascii="仿宋" w:hAnsi="仿宋" w:eastAsia="仿宋"/>
          <w:b/>
          <w:bCs/>
          <w:i/>
          <w:iCs/>
          <w:sz w:val="32"/>
          <w:szCs w:val="32"/>
          <w:u w:val="single"/>
          <w:lang w:val="en-US" w:eastAsia="zh-CN"/>
        </w:rPr>
        <w:t>500</w:t>
      </w:r>
      <w:r>
        <w:rPr>
          <w:rFonts w:hint="eastAsia" w:ascii="仿宋" w:hAnsi="仿宋" w:eastAsia="仿宋"/>
          <w:b/>
          <w:bCs/>
          <w:i/>
          <w:iCs/>
          <w:sz w:val="32"/>
          <w:szCs w:val="32"/>
          <w:u w:val="single"/>
        </w:rPr>
        <w:t>字</w:t>
      </w:r>
      <w:bookmarkEnd w:id="2"/>
      <w:r>
        <w:rPr>
          <w:rFonts w:hint="eastAsia" w:ascii="仿宋" w:hAnsi="仿宋" w:eastAsia="仿宋"/>
          <w:b/>
          <w:bCs/>
          <w:i/>
          <w:iCs/>
          <w:sz w:val="32"/>
          <w:szCs w:val="32"/>
          <w:u w:val="single"/>
          <w:lang w:val="en-US" w:eastAsia="zh-CN"/>
        </w:rPr>
        <w:t>以内）</w:t>
      </w:r>
    </w:p>
    <w:p w14:paraId="47783628">
      <w:pPr>
        <w:spacing w:line="560" w:lineRule="exact"/>
        <w:ind w:firstLine="643" w:firstLineChars="200"/>
        <w:rPr>
          <w:rFonts w:hint="default" w:ascii="仿宋" w:hAnsi="仿宋" w:eastAsia="仿宋"/>
          <w:b/>
          <w:bCs/>
          <w:sz w:val="32"/>
          <w:szCs w:val="32"/>
          <w:lang w:val="en-US" w:eastAsia="zh-CN"/>
        </w:rPr>
      </w:pPr>
      <w:r>
        <w:rPr>
          <w:rFonts w:hint="eastAsia" w:ascii="仿宋" w:hAnsi="仿宋" w:eastAsia="仿宋"/>
          <w:b/>
          <w:bCs/>
          <w:i/>
          <w:iCs/>
          <w:sz w:val="32"/>
          <w:szCs w:val="32"/>
          <w:u w:val="single"/>
          <w:lang w:val="en-US" w:eastAsia="zh-CN"/>
        </w:rPr>
        <w:t>专家建议：引进和培养高层次思政课专任教师，持续提升思政课教师的理论素养和水平。</w:t>
      </w:r>
    </w:p>
    <w:p w14:paraId="6DA4AB4B">
      <w:pPr>
        <w:spacing w:line="560" w:lineRule="exact"/>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一</w:t>
      </w:r>
      <w:r>
        <w:rPr>
          <w:rFonts w:hint="eastAsia" w:ascii="仿宋" w:hAnsi="仿宋" w:eastAsia="仿宋"/>
          <w:b/>
          <w:bCs/>
          <w:sz w:val="32"/>
          <w:szCs w:val="32"/>
          <w:lang w:eastAsia="zh-CN"/>
        </w:rPr>
        <w:t>）</w:t>
      </w:r>
      <w:r>
        <w:rPr>
          <w:rFonts w:hint="eastAsia" w:ascii="仿宋" w:hAnsi="仿宋" w:eastAsia="仿宋"/>
          <w:b/>
          <w:bCs/>
          <w:sz w:val="32"/>
          <w:szCs w:val="32"/>
        </w:rPr>
        <w:t>整改措施</w:t>
      </w:r>
      <w:r>
        <w:rPr>
          <w:rFonts w:hint="eastAsia" w:ascii="仿宋" w:hAnsi="仿宋" w:eastAsia="仿宋"/>
          <w:b/>
          <w:bCs/>
          <w:sz w:val="32"/>
          <w:szCs w:val="32"/>
          <w:lang w:val="en-US" w:eastAsia="zh-CN"/>
        </w:rPr>
        <w:t>及进度</w:t>
      </w:r>
    </w:p>
    <w:p w14:paraId="48B348E0">
      <w:pPr>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sz w:val="32"/>
          <w:szCs w:val="32"/>
        </w:rPr>
        <w:t>详细说明</w:t>
      </w:r>
      <w:r>
        <w:rPr>
          <w:rFonts w:hint="eastAsia" w:ascii="仿宋" w:hAnsi="仿宋" w:eastAsia="仿宋" w:cs="仿宋"/>
          <w:sz w:val="32"/>
          <w:szCs w:val="32"/>
          <w:lang w:val="en-US" w:eastAsia="zh-CN"/>
        </w:rPr>
        <w:t>该</w:t>
      </w:r>
      <w:r>
        <w:rPr>
          <w:rFonts w:hint="eastAsia" w:ascii="仿宋" w:hAnsi="仿宋" w:eastAsia="仿宋" w:cs="仿宋"/>
          <w:sz w:val="32"/>
          <w:szCs w:val="32"/>
        </w:rPr>
        <w:t>存在问题</w:t>
      </w:r>
      <w:r>
        <w:rPr>
          <w:rFonts w:hint="eastAsia" w:ascii="仿宋" w:hAnsi="仿宋" w:eastAsia="仿宋" w:cs="仿宋"/>
          <w:sz w:val="32"/>
          <w:szCs w:val="32"/>
          <w:lang w:val="en-US" w:eastAsia="zh-CN"/>
        </w:rPr>
        <w:t>的</w:t>
      </w:r>
      <w:r>
        <w:rPr>
          <w:rFonts w:hint="eastAsia" w:ascii="仿宋" w:hAnsi="仿宋" w:eastAsia="仿宋" w:cs="仿宋"/>
          <w:sz w:val="32"/>
          <w:szCs w:val="32"/>
        </w:rPr>
        <w:t>整改完成情况，包括整改措施与</w:t>
      </w:r>
      <w:r>
        <w:rPr>
          <w:rFonts w:hint="eastAsia" w:ascii="仿宋" w:hAnsi="仿宋" w:eastAsia="仿宋" w:cs="仿宋"/>
          <w:sz w:val="32"/>
          <w:szCs w:val="32"/>
          <w:lang w:val="en-US" w:eastAsia="zh-CN"/>
        </w:rPr>
        <w:t>取得的</w:t>
      </w:r>
      <w:r>
        <w:rPr>
          <w:rFonts w:hint="eastAsia" w:ascii="仿宋" w:hAnsi="仿宋" w:eastAsia="仿宋" w:cs="仿宋"/>
          <w:sz w:val="32"/>
          <w:szCs w:val="32"/>
        </w:rPr>
        <w:t>成效。</w:t>
      </w:r>
      <w:r>
        <w:rPr>
          <w:rFonts w:hint="eastAsia" w:ascii="仿宋" w:hAnsi="仿宋" w:eastAsia="仿宋" w:cs="仿宋"/>
          <w:b w:val="0"/>
          <w:kern w:val="2"/>
          <w:sz w:val="32"/>
          <w:szCs w:val="32"/>
          <w:lang w:val="en-US" w:eastAsia="zh-CN" w:bidi="ar-SA"/>
        </w:rPr>
        <w:t>重点描述所采取的主要整改措施、做法，目前的进展、取得的成效，突出亮点、特色，文字精练、数据准确。</w:t>
      </w:r>
    </w:p>
    <w:p w14:paraId="67A58215">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整改措施（示例）：</w:t>
      </w:r>
    </w:p>
    <w:p w14:paraId="7C468BA1">
      <w:pPr>
        <w:spacing w:line="560" w:lineRule="exact"/>
        <w:ind w:firstLine="640" w:firstLineChars="200"/>
        <w:rPr>
          <w:rFonts w:ascii="仿宋" w:hAnsi="仿宋" w:eastAsia="仿宋"/>
          <w:sz w:val="32"/>
          <w:szCs w:val="32"/>
        </w:rPr>
      </w:pPr>
      <w:r>
        <w:rPr>
          <w:rFonts w:hint="eastAsia" w:ascii="仿宋" w:hAnsi="仿宋" w:eastAsia="仿宋"/>
          <w:sz w:val="32"/>
          <w:szCs w:val="32"/>
        </w:rPr>
        <w:t>1.实施思政课教师队伍提升计划，发挥高层次思政课教师的“传帮带”作用，加强中青年思政课教师的培养工作。</w:t>
      </w:r>
    </w:p>
    <w:p w14:paraId="120A802F">
      <w:pPr>
        <w:spacing w:line="560" w:lineRule="exact"/>
        <w:ind w:firstLine="640" w:firstLineChars="200"/>
        <w:rPr>
          <w:rFonts w:ascii="仿宋" w:hAnsi="仿宋" w:eastAsia="仿宋"/>
          <w:sz w:val="32"/>
          <w:szCs w:val="32"/>
        </w:rPr>
      </w:pPr>
      <w:r>
        <w:rPr>
          <w:rFonts w:hint="eastAsia" w:ascii="仿宋" w:hAnsi="仿宋" w:eastAsia="仿宋"/>
          <w:sz w:val="32"/>
          <w:szCs w:val="32"/>
        </w:rPr>
        <w:t>2.外引与内选相结合，通过人才引进和校内遴选优秀人才，进一步充实思政课教师队伍。</w:t>
      </w:r>
      <w:bookmarkStart w:id="6" w:name="_GoBack"/>
      <w:bookmarkEnd w:id="6"/>
    </w:p>
    <w:p w14:paraId="33850CBB">
      <w:pPr>
        <w:spacing w:line="560" w:lineRule="exact"/>
        <w:ind w:firstLine="640" w:firstLineChars="200"/>
        <w:rPr>
          <w:rFonts w:ascii="仿宋" w:hAnsi="仿宋" w:eastAsia="仿宋"/>
          <w:sz w:val="32"/>
          <w:szCs w:val="32"/>
        </w:rPr>
      </w:pPr>
      <w:r>
        <w:rPr>
          <w:rFonts w:hint="eastAsia" w:ascii="仿宋" w:hAnsi="仿宋" w:eastAsia="仿宋"/>
          <w:sz w:val="32"/>
          <w:szCs w:val="32"/>
        </w:rPr>
        <w:t>………………………………………………</w:t>
      </w:r>
    </w:p>
    <w:p w14:paraId="70CEEFDB">
      <w:pPr>
        <w:spacing w:line="560" w:lineRule="exact"/>
        <w:ind w:firstLine="640" w:firstLineChars="200"/>
        <w:rPr>
          <w:rFonts w:ascii="仿宋" w:hAnsi="仿宋" w:eastAsia="仿宋"/>
          <w:sz w:val="32"/>
          <w:szCs w:val="32"/>
        </w:rPr>
      </w:pPr>
      <w:r>
        <w:rPr>
          <w:rFonts w:hint="eastAsia" w:ascii="仿宋" w:hAnsi="仿宋" w:eastAsia="仿宋"/>
          <w:sz w:val="32"/>
          <w:szCs w:val="32"/>
        </w:rPr>
        <w:t>………………………………………………</w:t>
      </w:r>
    </w:p>
    <w:p w14:paraId="3BAFA5F6">
      <w:pPr>
        <w:spacing w:line="560" w:lineRule="exact"/>
        <w:ind w:firstLine="643" w:firstLineChars="200"/>
        <w:rPr>
          <w:rFonts w:hint="default" w:ascii="仿宋" w:hAnsi="仿宋" w:eastAsia="仿宋"/>
          <w:sz w:val="32"/>
          <w:szCs w:val="32"/>
          <w:highlight w:val="none"/>
          <w:lang w:val="en-US" w:eastAsia="zh-CN"/>
        </w:rPr>
      </w:pPr>
      <w:r>
        <w:rPr>
          <w:rFonts w:hint="eastAsia" w:ascii="仿宋" w:hAnsi="仿宋" w:eastAsia="仿宋"/>
          <w:b/>
          <w:bCs/>
          <w:sz w:val="32"/>
          <w:szCs w:val="32"/>
        </w:rPr>
        <w:t>整改</w:t>
      </w:r>
      <w:r>
        <w:rPr>
          <w:rFonts w:hint="eastAsia" w:ascii="仿宋" w:hAnsi="仿宋" w:eastAsia="仿宋"/>
          <w:b/>
          <w:bCs/>
          <w:sz w:val="32"/>
          <w:szCs w:val="32"/>
          <w:lang w:val="en-US" w:eastAsia="zh-CN"/>
        </w:rPr>
        <w:t>已取得的</w:t>
      </w:r>
      <w:r>
        <w:rPr>
          <w:rFonts w:hint="eastAsia" w:ascii="仿宋" w:hAnsi="仿宋" w:eastAsia="仿宋"/>
          <w:b/>
          <w:bCs/>
          <w:sz w:val="32"/>
          <w:szCs w:val="32"/>
        </w:rPr>
        <w:t>成效：</w:t>
      </w:r>
      <w:r>
        <w:rPr>
          <w:rFonts w:hint="eastAsia" w:ascii="仿宋" w:hAnsi="仿宋" w:eastAsia="仿宋"/>
          <w:sz w:val="32"/>
          <w:szCs w:val="32"/>
          <w:highlight w:val="none"/>
          <w:lang w:val="en-US" w:eastAsia="zh-CN"/>
        </w:rPr>
        <w:t>制定《XXXXXXXXXXXXX》文件，开展XXXXXXXXXXXXX</w:t>
      </w:r>
      <w:r>
        <w:rPr>
          <w:rFonts w:hint="eastAsia" w:ascii="Times New Roman" w:hAnsi="Times New Roman" w:eastAsia="仿宋" w:cs="Times New Roman"/>
          <w:spacing w:val="-4"/>
          <w:sz w:val="32"/>
          <w:szCs w:val="32"/>
          <w:highlight w:val="none"/>
          <w:lang w:val="en-US" w:eastAsia="zh-CN"/>
        </w:rPr>
        <w:t>工作，</w:t>
      </w:r>
      <w:r>
        <w:rPr>
          <w:rFonts w:hint="eastAsia" w:ascii="仿宋" w:hAnsi="仿宋" w:eastAsia="仿宋"/>
          <w:b w:val="0"/>
          <w:bCs w:val="0"/>
          <w:sz w:val="32"/>
          <w:szCs w:val="32"/>
          <w:highlight w:val="none"/>
        </w:rPr>
        <w:t>引进高层次</w:t>
      </w:r>
      <w:r>
        <w:rPr>
          <w:rFonts w:hint="eastAsia" w:ascii="仿宋" w:hAnsi="仿宋" w:eastAsia="仿宋"/>
          <w:b w:val="0"/>
          <w:bCs w:val="0"/>
          <w:sz w:val="32"/>
          <w:szCs w:val="32"/>
          <w:highlight w:val="none"/>
          <w:lang w:val="en-US" w:eastAsia="zh-CN"/>
        </w:rPr>
        <w:t>思政课老师XXX名</w:t>
      </w:r>
      <w:r>
        <w:rPr>
          <w:rFonts w:hint="eastAsia" w:ascii="仿宋" w:hAnsi="仿宋" w:eastAsia="仿宋"/>
          <w:b w:val="0"/>
          <w:bCs w:val="0"/>
          <w:sz w:val="32"/>
          <w:szCs w:val="32"/>
          <w:highlight w:val="none"/>
          <w:lang w:eastAsia="zh-CN"/>
        </w:rPr>
        <w:t>，</w:t>
      </w:r>
      <w:r>
        <w:rPr>
          <w:rFonts w:hint="eastAsia" w:ascii="仿宋" w:hAnsi="仿宋" w:eastAsia="仿宋"/>
          <w:b w:val="0"/>
          <w:bCs w:val="0"/>
          <w:sz w:val="32"/>
          <w:szCs w:val="32"/>
          <w:highlight w:val="none"/>
        </w:rPr>
        <w:t>培育广西教学名师</w:t>
      </w:r>
      <w:r>
        <w:rPr>
          <w:rFonts w:hint="eastAsia" w:ascii="仿宋" w:hAnsi="仿宋" w:eastAsia="仿宋"/>
          <w:b w:val="0"/>
          <w:bCs w:val="0"/>
          <w:sz w:val="32"/>
          <w:szCs w:val="32"/>
          <w:highlight w:val="none"/>
          <w:lang w:val="en-US" w:eastAsia="zh-CN"/>
        </w:rPr>
        <w:t>XXX</w:t>
      </w:r>
      <w:r>
        <w:rPr>
          <w:rFonts w:hint="eastAsia" w:ascii="仿宋" w:hAnsi="仿宋" w:eastAsia="仿宋"/>
          <w:b w:val="0"/>
          <w:bCs w:val="0"/>
          <w:sz w:val="32"/>
          <w:szCs w:val="32"/>
          <w:highlight w:val="none"/>
        </w:rPr>
        <w:t>名</w:t>
      </w:r>
      <w:r>
        <w:rPr>
          <w:rFonts w:hint="eastAsia" w:ascii="仿宋" w:hAnsi="仿宋" w:eastAsia="仿宋"/>
          <w:b w:val="0"/>
          <w:bCs w:val="0"/>
          <w:sz w:val="32"/>
          <w:szCs w:val="32"/>
          <w:highlight w:val="none"/>
          <w:lang w:eastAsia="zh-CN"/>
        </w:rPr>
        <w:t>，</w:t>
      </w:r>
      <w:r>
        <w:rPr>
          <w:rFonts w:hint="eastAsia" w:ascii="仿宋" w:hAnsi="仿宋" w:eastAsia="仿宋"/>
          <w:sz w:val="32"/>
          <w:szCs w:val="32"/>
          <w:highlight w:val="none"/>
        </w:rPr>
        <w:t>思政课教师年龄、职称等结构逐步优化。</w:t>
      </w:r>
    </w:p>
    <w:p w14:paraId="5F66CA1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w:t>
      </w:r>
    </w:p>
    <w:p w14:paraId="19E19E57">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w:t>
      </w:r>
    </w:p>
    <w:p w14:paraId="590CCFCB">
      <w:pPr>
        <w:spacing w:line="560" w:lineRule="exact"/>
        <w:ind w:firstLine="643" w:firstLineChars="200"/>
        <w:rPr>
          <w:rFonts w:hint="eastAsia" w:ascii="楷体" w:hAnsi="楷体" w:eastAsia="楷体" w:cs="楷体"/>
          <w:sz w:val="32"/>
          <w:szCs w:val="32"/>
          <w:u w:val="single"/>
        </w:rPr>
      </w:pPr>
      <w:r>
        <w:rPr>
          <w:rFonts w:hint="eastAsia" w:ascii="楷体" w:hAnsi="楷体" w:eastAsia="楷体" w:cs="楷体"/>
          <w:b/>
          <w:bCs/>
          <w:sz w:val="32"/>
          <w:szCs w:val="32"/>
        </w:rPr>
        <w:t>（二）尚未解决的问题及下一步工作计划</w:t>
      </w:r>
    </w:p>
    <w:p w14:paraId="044C9E7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对照《整改方案》中的整改目标</w:t>
      </w:r>
      <w:r>
        <w:rPr>
          <w:rFonts w:hint="eastAsia" w:ascii="仿宋" w:hAnsi="仿宋" w:eastAsia="仿宋"/>
          <w:sz w:val="32"/>
          <w:szCs w:val="32"/>
          <w:lang w:eastAsia="zh-CN"/>
        </w:rPr>
        <w:t>，</w:t>
      </w:r>
      <w:r>
        <w:rPr>
          <w:rFonts w:hint="eastAsia" w:ascii="仿宋" w:hAnsi="仿宋" w:eastAsia="仿宋"/>
          <w:sz w:val="32"/>
          <w:szCs w:val="32"/>
          <w:lang w:val="en-US" w:eastAsia="zh-CN"/>
        </w:rPr>
        <w:t>详细说明</w:t>
      </w:r>
      <w:r>
        <w:rPr>
          <w:rFonts w:hint="eastAsia" w:ascii="仿宋" w:hAnsi="仿宋" w:eastAsia="仿宋"/>
          <w:sz w:val="32"/>
          <w:szCs w:val="32"/>
        </w:rPr>
        <w:t>在推进整改工作中尚未解决的问题，下一步改进思路和计划。</w:t>
      </w:r>
    </w:p>
    <w:p w14:paraId="0190F452">
      <w:pPr>
        <w:rPr>
          <w:rFonts w:hint="default"/>
          <w:lang w:val="en-US" w:eastAsia="zh-CN"/>
        </w:rPr>
      </w:pPr>
    </w:p>
    <w:p w14:paraId="3E9A6B62">
      <w:pPr>
        <w:spacing w:before="156" w:beforeLines="50" w:after="156" w:afterLines="50" w:line="360" w:lineRule="auto"/>
        <w:ind w:right="-197" w:rightChars="-94"/>
        <w:jc w:val="left"/>
        <w:rPr>
          <w:rFonts w:hint="eastAsia" w:ascii="黑体" w:hAnsi="黑体" w:eastAsia="黑体" w:cs="黑体"/>
          <w:sz w:val="28"/>
          <w:szCs w:val="28"/>
          <w:lang w:val="en-US" w:eastAsia="zh-CN"/>
        </w:rPr>
        <w:sectPr>
          <w:footerReference r:id="rId3" w:type="default"/>
          <w:pgSz w:w="11906" w:h="16838"/>
          <w:pgMar w:top="1134" w:right="1418" w:bottom="1134" w:left="1418" w:header="851" w:footer="992" w:gutter="0"/>
          <w:pgNumType w:fmt="decimal"/>
          <w:cols w:space="425" w:num="1"/>
          <w:docGrid w:type="lines" w:linePitch="312" w:charSpace="0"/>
        </w:sectPr>
      </w:pPr>
    </w:p>
    <w:p w14:paraId="2D8FEE24">
      <w:pPr>
        <w:spacing w:before="156" w:beforeLines="50" w:after="156" w:afterLines="50" w:line="360" w:lineRule="auto"/>
        <w:ind w:right="-197" w:rightChars="-94"/>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附件3</w:t>
      </w:r>
    </w:p>
    <w:p w14:paraId="67F95ADA">
      <w:pPr>
        <w:spacing w:before="156" w:beforeLines="50" w:after="156" w:afterLines="50" w:line="360" w:lineRule="auto"/>
        <w:ind w:right="-197" w:rightChars="-94"/>
        <w:jc w:val="center"/>
        <w:rPr>
          <w:rFonts w:ascii="方正小标宋简体" w:hAnsi="黑体" w:eastAsia="方正小标宋简体"/>
          <w:sz w:val="32"/>
          <w:szCs w:val="32"/>
        </w:rPr>
      </w:pPr>
      <w:r>
        <w:rPr>
          <w:rFonts w:hint="eastAsia" w:ascii="方正小标宋简体" w:hAnsi="黑体" w:eastAsia="方正小标宋简体"/>
          <w:sz w:val="32"/>
          <w:szCs w:val="32"/>
        </w:rPr>
        <w:t>广西医科大学</w:t>
      </w:r>
      <w:bookmarkStart w:id="3" w:name="_Hlk160290933"/>
      <w:r>
        <w:rPr>
          <w:rFonts w:hint="eastAsia" w:ascii="方正小标宋简体" w:hAnsi="黑体" w:eastAsia="方正小标宋简体"/>
          <w:sz w:val="32"/>
          <w:szCs w:val="32"/>
        </w:rPr>
        <w:t>本科教育教学审核评估整改工作台账</w:t>
      </w:r>
      <w:bookmarkEnd w:id="3"/>
    </w:p>
    <w:tbl>
      <w:tblPr>
        <w:tblStyle w:val="7"/>
        <w:tblW w:w="16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08"/>
        <w:gridCol w:w="2124"/>
        <w:gridCol w:w="2693"/>
        <w:gridCol w:w="1701"/>
        <w:gridCol w:w="1560"/>
        <w:gridCol w:w="1701"/>
        <w:gridCol w:w="1275"/>
        <w:gridCol w:w="993"/>
        <w:gridCol w:w="1559"/>
        <w:gridCol w:w="567"/>
        <w:gridCol w:w="567"/>
      </w:tblGrid>
      <w:tr w14:paraId="00D7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blHeader/>
          <w:jc w:val="center"/>
        </w:trPr>
        <w:tc>
          <w:tcPr>
            <w:tcW w:w="707" w:type="dxa"/>
            <w:vMerge w:val="restart"/>
            <w:vAlign w:val="center"/>
          </w:tcPr>
          <w:p w14:paraId="641F421F">
            <w:pPr>
              <w:adjustRightInd w:val="0"/>
              <w:snapToGrid w:val="0"/>
              <w:jc w:val="center"/>
              <w:rPr>
                <w:rFonts w:ascii="宋体" w:hAnsi="宋体" w:eastAsia="宋体"/>
                <w:b/>
                <w:bCs/>
                <w:kern w:val="0"/>
                <w:szCs w:val="21"/>
              </w:rPr>
            </w:pPr>
            <w:r>
              <w:rPr>
                <w:rFonts w:hint="eastAsia" w:ascii="宋体" w:hAnsi="宋体" w:eastAsia="宋体"/>
                <w:b/>
                <w:bCs/>
                <w:kern w:val="0"/>
                <w:szCs w:val="21"/>
              </w:rPr>
              <w:t>问题序号</w:t>
            </w:r>
          </w:p>
        </w:tc>
        <w:tc>
          <w:tcPr>
            <w:tcW w:w="5525" w:type="dxa"/>
            <w:gridSpan w:val="3"/>
            <w:vAlign w:val="center"/>
          </w:tcPr>
          <w:p w14:paraId="1E3892CE">
            <w:pPr>
              <w:adjustRightInd w:val="0"/>
              <w:snapToGrid w:val="0"/>
              <w:ind w:left="-105" w:leftChars="-50" w:right="-105" w:rightChars="-50"/>
              <w:jc w:val="center"/>
              <w:rPr>
                <w:rFonts w:ascii="宋体" w:hAnsi="宋体" w:eastAsia="宋体"/>
                <w:b/>
                <w:bCs/>
                <w:kern w:val="0"/>
                <w:szCs w:val="21"/>
              </w:rPr>
            </w:pPr>
            <w:r>
              <w:rPr>
                <w:rFonts w:hint="eastAsia" w:ascii="宋体" w:hAnsi="宋体" w:eastAsia="宋体"/>
                <w:b/>
                <w:bCs/>
                <w:kern w:val="0"/>
                <w:szCs w:val="21"/>
              </w:rPr>
              <w:t>整改问题清单</w:t>
            </w:r>
          </w:p>
        </w:tc>
        <w:tc>
          <w:tcPr>
            <w:tcW w:w="1701" w:type="dxa"/>
            <w:vMerge w:val="restart"/>
            <w:vAlign w:val="center"/>
          </w:tcPr>
          <w:p w14:paraId="7B649FC1">
            <w:pPr>
              <w:adjustRightInd w:val="0"/>
              <w:snapToGrid w:val="0"/>
              <w:ind w:left="-105" w:leftChars="-50" w:right="-105" w:rightChars="-50"/>
              <w:jc w:val="center"/>
              <w:rPr>
                <w:rFonts w:ascii="宋体" w:hAnsi="宋体" w:eastAsia="宋体"/>
                <w:b/>
                <w:bCs/>
                <w:kern w:val="0"/>
                <w:szCs w:val="21"/>
              </w:rPr>
            </w:pPr>
            <w:r>
              <w:rPr>
                <w:rFonts w:hint="eastAsia" w:ascii="宋体" w:hAnsi="宋体" w:eastAsia="宋体"/>
                <w:b/>
                <w:bCs/>
                <w:kern w:val="0"/>
                <w:szCs w:val="21"/>
              </w:rPr>
              <w:t>整改措施</w:t>
            </w:r>
          </w:p>
        </w:tc>
        <w:tc>
          <w:tcPr>
            <w:tcW w:w="1560" w:type="dxa"/>
            <w:vMerge w:val="restart"/>
            <w:vAlign w:val="center"/>
          </w:tcPr>
          <w:p w14:paraId="5E51B4C9">
            <w:pPr>
              <w:adjustRightInd w:val="0"/>
              <w:snapToGrid w:val="0"/>
              <w:ind w:left="-105" w:leftChars="-50" w:right="-105" w:rightChars="-50"/>
              <w:jc w:val="center"/>
              <w:rPr>
                <w:rFonts w:ascii="宋体" w:hAnsi="宋体" w:eastAsia="宋体"/>
                <w:b/>
                <w:bCs/>
                <w:kern w:val="0"/>
                <w:szCs w:val="21"/>
              </w:rPr>
            </w:pPr>
            <w:r>
              <w:rPr>
                <w:rFonts w:hint="eastAsia" w:ascii="宋体" w:hAnsi="宋体" w:eastAsia="宋体"/>
                <w:b/>
                <w:bCs/>
                <w:kern w:val="0"/>
                <w:szCs w:val="21"/>
              </w:rPr>
              <w:t>中期整改成效</w:t>
            </w:r>
          </w:p>
        </w:tc>
        <w:tc>
          <w:tcPr>
            <w:tcW w:w="1701" w:type="dxa"/>
            <w:vMerge w:val="restart"/>
            <w:vAlign w:val="center"/>
          </w:tcPr>
          <w:p w14:paraId="7F915EA7">
            <w:pPr>
              <w:adjustRightInd w:val="0"/>
              <w:snapToGrid w:val="0"/>
              <w:ind w:left="-105" w:leftChars="-50" w:right="-105" w:rightChars="-50"/>
              <w:jc w:val="center"/>
              <w:rPr>
                <w:rFonts w:ascii="宋体" w:hAnsi="宋体" w:eastAsia="宋体"/>
                <w:b/>
                <w:bCs/>
                <w:kern w:val="0"/>
                <w:szCs w:val="21"/>
              </w:rPr>
            </w:pPr>
            <w:r>
              <w:rPr>
                <w:rFonts w:hint="eastAsia" w:ascii="宋体" w:hAnsi="宋体" w:eastAsia="宋体"/>
                <w:b/>
                <w:bCs/>
                <w:kern w:val="0"/>
                <w:szCs w:val="21"/>
              </w:rPr>
              <w:t>全面整改成效</w:t>
            </w:r>
          </w:p>
        </w:tc>
        <w:tc>
          <w:tcPr>
            <w:tcW w:w="1275" w:type="dxa"/>
            <w:vMerge w:val="restart"/>
            <w:vAlign w:val="center"/>
          </w:tcPr>
          <w:p w14:paraId="06E9327E">
            <w:pPr>
              <w:adjustRightInd w:val="0"/>
              <w:snapToGrid w:val="0"/>
              <w:ind w:left="-105" w:leftChars="-50" w:right="-105" w:rightChars="-50"/>
              <w:jc w:val="center"/>
              <w:rPr>
                <w:rFonts w:ascii="宋体" w:hAnsi="宋体" w:eastAsia="宋体"/>
                <w:b/>
                <w:bCs/>
                <w:kern w:val="0"/>
                <w:szCs w:val="21"/>
              </w:rPr>
            </w:pPr>
            <w:r>
              <w:rPr>
                <w:rFonts w:hint="eastAsia" w:ascii="宋体" w:hAnsi="宋体" w:eastAsia="宋体"/>
                <w:b/>
                <w:bCs/>
                <w:kern w:val="0"/>
                <w:szCs w:val="21"/>
              </w:rPr>
              <w:t>整改时限</w:t>
            </w:r>
          </w:p>
        </w:tc>
        <w:tc>
          <w:tcPr>
            <w:tcW w:w="2552" w:type="dxa"/>
            <w:gridSpan w:val="2"/>
            <w:vAlign w:val="center"/>
          </w:tcPr>
          <w:p w14:paraId="3B42CF22">
            <w:pPr>
              <w:adjustRightInd w:val="0"/>
              <w:snapToGrid w:val="0"/>
              <w:ind w:left="-105" w:leftChars="-50" w:right="-105" w:rightChars="-50"/>
              <w:jc w:val="center"/>
              <w:rPr>
                <w:rFonts w:ascii="宋体" w:hAnsi="宋体" w:eastAsia="宋体"/>
                <w:b/>
                <w:bCs/>
                <w:kern w:val="0"/>
                <w:szCs w:val="21"/>
              </w:rPr>
            </w:pPr>
            <w:r>
              <w:rPr>
                <w:rFonts w:hint="eastAsia" w:ascii="宋体" w:hAnsi="宋体" w:eastAsia="宋体"/>
                <w:b/>
                <w:bCs/>
                <w:kern w:val="0"/>
                <w:szCs w:val="21"/>
              </w:rPr>
              <w:t>整改工作责任单位</w:t>
            </w:r>
          </w:p>
        </w:tc>
        <w:tc>
          <w:tcPr>
            <w:tcW w:w="567" w:type="dxa"/>
            <w:vMerge w:val="restart"/>
            <w:vAlign w:val="center"/>
          </w:tcPr>
          <w:p w14:paraId="0D113082">
            <w:pPr>
              <w:adjustRightInd w:val="0"/>
              <w:snapToGrid w:val="0"/>
              <w:ind w:left="-105" w:leftChars="-50" w:right="-105" w:rightChars="-50"/>
              <w:jc w:val="center"/>
              <w:rPr>
                <w:rFonts w:ascii="宋体" w:hAnsi="宋体" w:eastAsia="宋体"/>
                <w:b/>
                <w:bCs/>
                <w:kern w:val="0"/>
                <w:szCs w:val="21"/>
              </w:rPr>
            </w:pPr>
            <w:r>
              <w:rPr>
                <w:rFonts w:hint="eastAsia" w:ascii="宋体" w:hAnsi="宋体" w:eastAsia="宋体"/>
                <w:b/>
                <w:bCs/>
                <w:kern w:val="0"/>
                <w:szCs w:val="21"/>
              </w:rPr>
              <w:t>整改进度</w:t>
            </w:r>
          </w:p>
        </w:tc>
        <w:tc>
          <w:tcPr>
            <w:tcW w:w="567" w:type="dxa"/>
            <w:vMerge w:val="restart"/>
            <w:vAlign w:val="center"/>
          </w:tcPr>
          <w:p w14:paraId="677EA6F1">
            <w:pPr>
              <w:adjustRightInd w:val="0"/>
              <w:snapToGrid w:val="0"/>
              <w:ind w:left="-105" w:leftChars="-50" w:right="-105" w:rightChars="-50"/>
              <w:jc w:val="center"/>
              <w:rPr>
                <w:rFonts w:ascii="宋体" w:hAnsi="宋体" w:eastAsia="宋体"/>
                <w:b/>
                <w:bCs/>
                <w:kern w:val="0"/>
                <w:szCs w:val="21"/>
              </w:rPr>
            </w:pPr>
            <w:r>
              <w:rPr>
                <w:rFonts w:hint="eastAsia" w:ascii="宋体" w:hAnsi="宋体" w:eastAsia="宋体"/>
                <w:b/>
                <w:bCs/>
                <w:kern w:val="0"/>
                <w:szCs w:val="21"/>
              </w:rPr>
              <w:t>是否销号</w:t>
            </w:r>
          </w:p>
        </w:tc>
      </w:tr>
      <w:tr w14:paraId="6ED6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blHeader/>
          <w:jc w:val="center"/>
        </w:trPr>
        <w:tc>
          <w:tcPr>
            <w:tcW w:w="707" w:type="dxa"/>
            <w:vMerge w:val="continue"/>
            <w:vAlign w:val="center"/>
          </w:tcPr>
          <w:p w14:paraId="61F78C2C">
            <w:pPr>
              <w:adjustRightInd w:val="0"/>
              <w:snapToGrid w:val="0"/>
              <w:jc w:val="center"/>
              <w:rPr>
                <w:rFonts w:ascii="宋体" w:hAnsi="宋体" w:eastAsia="宋体"/>
                <w:b/>
                <w:bCs/>
                <w:kern w:val="0"/>
                <w:szCs w:val="21"/>
              </w:rPr>
            </w:pPr>
          </w:p>
        </w:tc>
        <w:tc>
          <w:tcPr>
            <w:tcW w:w="708" w:type="dxa"/>
            <w:vAlign w:val="center"/>
          </w:tcPr>
          <w:p w14:paraId="70C96B6B">
            <w:pPr>
              <w:adjustRightInd w:val="0"/>
              <w:snapToGrid w:val="0"/>
              <w:jc w:val="center"/>
              <w:rPr>
                <w:rFonts w:ascii="宋体" w:hAnsi="宋体" w:eastAsia="宋体"/>
                <w:b/>
                <w:bCs/>
                <w:kern w:val="0"/>
                <w:szCs w:val="21"/>
              </w:rPr>
            </w:pPr>
            <w:r>
              <w:rPr>
                <w:rFonts w:hint="eastAsia" w:ascii="宋体" w:hAnsi="宋体" w:eastAsia="宋体"/>
                <w:b/>
                <w:bCs/>
                <w:kern w:val="0"/>
                <w:szCs w:val="21"/>
              </w:rPr>
              <w:t>对应指标</w:t>
            </w:r>
          </w:p>
        </w:tc>
        <w:tc>
          <w:tcPr>
            <w:tcW w:w="2124" w:type="dxa"/>
            <w:vAlign w:val="center"/>
          </w:tcPr>
          <w:p w14:paraId="7A2AE1B4">
            <w:pPr>
              <w:spacing w:line="400" w:lineRule="exact"/>
              <w:jc w:val="center"/>
              <w:rPr>
                <w:rFonts w:ascii="宋体" w:hAnsi="宋体" w:eastAsia="宋体"/>
                <w:b/>
                <w:kern w:val="0"/>
                <w:szCs w:val="21"/>
              </w:rPr>
            </w:pPr>
            <w:r>
              <w:rPr>
                <w:rFonts w:hint="eastAsia" w:ascii="宋体" w:hAnsi="宋体" w:eastAsia="宋体"/>
                <w:b/>
                <w:kern w:val="0"/>
                <w:szCs w:val="21"/>
              </w:rPr>
              <w:t>问题描述</w:t>
            </w:r>
          </w:p>
        </w:tc>
        <w:tc>
          <w:tcPr>
            <w:tcW w:w="2693" w:type="dxa"/>
            <w:vAlign w:val="center"/>
          </w:tcPr>
          <w:p w14:paraId="5A219DB7">
            <w:pPr>
              <w:adjustRightInd w:val="0"/>
              <w:snapToGrid w:val="0"/>
              <w:ind w:left="-105" w:leftChars="-50" w:right="-105" w:rightChars="-50"/>
              <w:jc w:val="center"/>
              <w:rPr>
                <w:rFonts w:ascii="宋体" w:hAnsi="宋体" w:eastAsia="宋体"/>
                <w:b/>
                <w:bCs/>
                <w:kern w:val="0"/>
                <w:szCs w:val="21"/>
              </w:rPr>
            </w:pPr>
            <w:r>
              <w:rPr>
                <w:rFonts w:hint="eastAsia" w:ascii="宋体" w:hAnsi="宋体" w:eastAsia="宋体"/>
                <w:b/>
                <w:bCs/>
                <w:kern w:val="0"/>
                <w:szCs w:val="21"/>
              </w:rPr>
              <w:t>专家建议</w:t>
            </w:r>
          </w:p>
        </w:tc>
        <w:tc>
          <w:tcPr>
            <w:tcW w:w="1701" w:type="dxa"/>
            <w:vMerge w:val="continue"/>
          </w:tcPr>
          <w:p w14:paraId="56AC61E7">
            <w:pPr>
              <w:adjustRightInd w:val="0"/>
              <w:snapToGrid w:val="0"/>
              <w:ind w:left="-105" w:leftChars="-50" w:right="-105" w:rightChars="-50"/>
              <w:jc w:val="center"/>
              <w:rPr>
                <w:rFonts w:ascii="宋体" w:hAnsi="宋体" w:eastAsia="宋体"/>
                <w:b/>
                <w:bCs/>
                <w:kern w:val="0"/>
                <w:szCs w:val="21"/>
              </w:rPr>
            </w:pPr>
          </w:p>
        </w:tc>
        <w:tc>
          <w:tcPr>
            <w:tcW w:w="1560" w:type="dxa"/>
            <w:vMerge w:val="continue"/>
            <w:vAlign w:val="center"/>
          </w:tcPr>
          <w:p w14:paraId="2E34AE64">
            <w:pPr>
              <w:adjustRightInd w:val="0"/>
              <w:snapToGrid w:val="0"/>
              <w:ind w:left="-105" w:leftChars="-50" w:right="-105" w:rightChars="-50"/>
              <w:jc w:val="center"/>
              <w:rPr>
                <w:rFonts w:ascii="宋体" w:hAnsi="宋体" w:eastAsia="宋体"/>
                <w:b/>
                <w:bCs/>
                <w:kern w:val="0"/>
                <w:szCs w:val="21"/>
              </w:rPr>
            </w:pPr>
          </w:p>
        </w:tc>
        <w:tc>
          <w:tcPr>
            <w:tcW w:w="1701" w:type="dxa"/>
            <w:vMerge w:val="continue"/>
            <w:vAlign w:val="center"/>
          </w:tcPr>
          <w:p w14:paraId="3612F324">
            <w:pPr>
              <w:adjustRightInd w:val="0"/>
              <w:snapToGrid w:val="0"/>
              <w:ind w:left="-105" w:leftChars="-50" w:right="-105" w:rightChars="-50"/>
              <w:jc w:val="center"/>
              <w:rPr>
                <w:rFonts w:ascii="宋体" w:hAnsi="宋体" w:eastAsia="宋体"/>
                <w:b/>
                <w:bCs/>
                <w:kern w:val="0"/>
                <w:szCs w:val="21"/>
              </w:rPr>
            </w:pPr>
          </w:p>
        </w:tc>
        <w:tc>
          <w:tcPr>
            <w:tcW w:w="1275" w:type="dxa"/>
            <w:vMerge w:val="continue"/>
            <w:vAlign w:val="center"/>
          </w:tcPr>
          <w:p w14:paraId="10068A7E">
            <w:pPr>
              <w:adjustRightInd w:val="0"/>
              <w:snapToGrid w:val="0"/>
              <w:ind w:left="-105" w:leftChars="-50" w:right="-105" w:rightChars="-50"/>
              <w:jc w:val="center"/>
              <w:rPr>
                <w:rFonts w:ascii="宋体" w:hAnsi="宋体" w:eastAsia="宋体"/>
                <w:b/>
                <w:bCs/>
                <w:kern w:val="0"/>
                <w:szCs w:val="21"/>
              </w:rPr>
            </w:pPr>
          </w:p>
        </w:tc>
        <w:tc>
          <w:tcPr>
            <w:tcW w:w="993" w:type="dxa"/>
            <w:vAlign w:val="center"/>
          </w:tcPr>
          <w:p w14:paraId="65FBB227">
            <w:pPr>
              <w:adjustRightInd w:val="0"/>
              <w:snapToGrid w:val="0"/>
              <w:ind w:left="-105" w:leftChars="-50" w:right="-105" w:rightChars="-50"/>
              <w:jc w:val="center"/>
              <w:rPr>
                <w:rFonts w:ascii="宋体" w:hAnsi="宋体" w:eastAsia="宋体"/>
                <w:b/>
                <w:bCs/>
                <w:kern w:val="0"/>
                <w:szCs w:val="21"/>
              </w:rPr>
            </w:pPr>
            <w:r>
              <w:rPr>
                <w:rFonts w:hint="eastAsia" w:ascii="宋体" w:hAnsi="宋体" w:eastAsia="宋体"/>
                <w:b/>
                <w:bCs/>
                <w:kern w:val="0"/>
                <w:szCs w:val="21"/>
              </w:rPr>
              <w:t>牵头单位</w:t>
            </w:r>
          </w:p>
        </w:tc>
        <w:tc>
          <w:tcPr>
            <w:tcW w:w="1559" w:type="dxa"/>
            <w:vAlign w:val="center"/>
          </w:tcPr>
          <w:p w14:paraId="03EE6CB8">
            <w:pPr>
              <w:adjustRightInd w:val="0"/>
              <w:snapToGrid w:val="0"/>
              <w:ind w:left="-105" w:leftChars="-50" w:right="-105" w:rightChars="-50"/>
              <w:jc w:val="center"/>
              <w:rPr>
                <w:rFonts w:ascii="宋体" w:hAnsi="宋体" w:eastAsia="宋体"/>
                <w:b/>
                <w:bCs/>
                <w:kern w:val="0"/>
                <w:szCs w:val="21"/>
              </w:rPr>
            </w:pPr>
            <w:r>
              <w:rPr>
                <w:rFonts w:hint="eastAsia" w:ascii="宋体" w:hAnsi="宋体" w:eastAsia="宋体"/>
                <w:b/>
                <w:bCs/>
                <w:kern w:val="0"/>
                <w:szCs w:val="21"/>
              </w:rPr>
              <w:t>配合单位</w:t>
            </w:r>
          </w:p>
        </w:tc>
        <w:tc>
          <w:tcPr>
            <w:tcW w:w="567" w:type="dxa"/>
            <w:vMerge w:val="continue"/>
            <w:vAlign w:val="center"/>
          </w:tcPr>
          <w:p w14:paraId="6CCD8D8E">
            <w:pPr>
              <w:adjustRightInd w:val="0"/>
              <w:snapToGrid w:val="0"/>
              <w:ind w:left="-105" w:leftChars="-50" w:right="-105" w:rightChars="-50"/>
              <w:jc w:val="center"/>
              <w:rPr>
                <w:rFonts w:ascii="宋体" w:hAnsi="宋体" w:eastAsia="宋体"/>
                <w:b/>
                <w:bCs/>
                <w:kern w:val="0"/>
                <w:szCs w:val="21"/>
              </w:rPr>
            </w:pPr>
          </w:p>
        </w:tc>
        <w:tc>
          <w:tcPr>
            <w:tcW w:w="567" w:type="dxa"/>
            <w:vMerge w:val="continue"/>
            <w:vAlign w:val="center"/>
          </w:tcPr>
          <w:p w14:paraId="24BC8210">
            <w:pPr>
              <w:adjustRightInd w:val="0"/>
              <w:snapToGrid w:val="0"/>
              <w:ind w:left="-105" w:leftChars="-50" w:right="-105" w:rightChars="-50"/>
              <w:jc w:val="center"/>
              <w:rPr>
                <w:rFonts w:ascii="宋体" w:hAnsi="宋体" w:eastAsia="宋体"/>
                <w:b/>
                <w:bCs/>
                <w:kern w:val="0"/>
                <w:szCs w:val="21"/>
              </w:rPr>
            </w:pPr>
          </w:p>
        </w:tc>
      </w:tr>
      <w:tr w14:paraId="205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707" w:type="dxa"/>
            <w:vAlign w:val="center"/>
          </w:tcPr>
          <w:p w14:paraId="344DD59E">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1</w:t>
            </w:r>
          </w:p>
        </w:tc>
        <w:tc>
          <w:tcPr>
            <w:tcW w:w="708" w:type="dxa"/>
            <w:vAlign w:val="center"/>
          </w:tcPr>
          <w:p w14:paraId="2908E325">
            <w:pPr>
              <w:widowControl/>
              <w:adjustRightInd w:val="0"/>
              <w:snapToGrid w:val="0"/>
              <w:jc w:val="center"/>
              <w:rPr>
                <w:rFonts w:ascii="宋体" w:hAnsi="宋体" w:eastAsia="宋体" w:cs="仿宋"/>
                <w:b/>
                <w:bCs/>
                <w:kern w:val="0"/>
                <w:szCs w:val="21"/>
              </w:rPr>
            </w:pPr>
            <w:r>
              <w:rPr>
                <w:rFonts w:hint="eastAsia" w:ascii="宋体" w:hAnsi="宋体" w:eastAsia="宋体" w:cs="仿宋"/>
                <w:kern w:val="0"/>
                <w:szCs w:val="21"/>
              </w:rPr>
              <w:t>1.2思政教育</w:t>
            </w:r>
          </w:p>
        </w:tc>
        <w:tc>
          <w:tcPr>
            <w:tcW w:w="2124" w:type="dxa"/>
            <w:vAlign w:val="center"/>
          </w:tcPr>
          <w:p w14:paraId="54FEC6A0">
            <w:pPr>
              <w:rPr>
                <w:rFonts w:ascii="宋体" w:hAnsi="宋体" w:eastAsia="宋体" w:cs="仿宋"/>
                <w:bCs/>
                <w:kern w:val="0"/>
                <w:szCs w:val="21"/>
              </w:rPr>
            </w:pPr>
            <w:r>
              <w:rPr>
                <w:rFonts w:hint="eastAsia" w:ascii="宋体" w:hAnsi="宋体" w:eastAsia="宋体" w:cs="仿宋"/>
                <w:bCs/>
                <w:szCs w:val="21"/>
              </w:rPr>
              <w:t>思政课教师队伍有待优化</w:t>
            </w:r>
            <w:r>
              <w:rPr>
                <w:rFonts w:hint="eastAsia" w:ascii="宋体" w:hAnsi="宋体" w:eastAsia="宋体" w:cs="仿宋"/>
                <w:bCs/>
                <w:kern w:val="0"/>
                <w:szCs w:val="21"/>
              </w:rPr>
              <w:t>。</w:t>
            </w:r>
          </w:p>
        </w:tc>
        <w:tc>
          <w:tcPr>
            <w:tcW w:w="2693" w:type="dxa"/>
            <w:vAlign w:val="center"/>
          </w:tcPr>
          <w:p w14:paraId="4D16CD34">
            <w:pPr>
              <w:rPr>
                <w:rFonts w:ascii="宋体" w:hAnsi="宋体" w:eastAsia="宋体"/>
                <w:szCs w:val="21"/>
              </w:rPr>
            </w:pPr>
            <w:r>
              <w:rPr>
                <w:rFonts w:hint="eastAsia" w:ascii="宋体" w:hAnsi="宋体" w:eastAsia="宋体" w:cs="仿宋"/>
                <w:bCs/>
                <w:szCs w:val="21"/>
              </w:rPr>
              <w:t>引进和培养高层次思政课专任教师，持续提升思政课教师的理论素养和水平。</w:t>
            </w:r>
          </w:p>
        </w:tc>
        <w:tc>
          <w:tcPr>
            <w:tcW w:w="1701" w:type="dxa"/>
          </w:tcPr>
          <w:p w14:paraId="7ECB1F00">
            <w:pPr>
              <w:rPr>
                <w:rFonts w:ascii="仿宋" w:hAnsi="仿宋" w:eastAsia="仿宋"/>
                <w:szCs w:val="21"/>
              </w:rPr>
            </w:pPr>
          </w:p>
        </w:tc>
        <w:tc>
          <w:tcPr>
            <w:tcW w:w="1560" w:type="dxa"/>
            <w:vAlign w:val="center"/>
          </w:tcPr>
          <w:p w14:paraId="51713E68">
            <w:pPr>
              <w:rPr>
                <w:rFonts w:ascii="仿宋" w:hAnsi="仿宋" w:eastAsia="仿宋"/>
                <w:szCs w:val="21"/>
              </w:rPr>
            </w:pPr>
          </w:p>
        </w:tc>
        <w:tc>
          <w:tcPr>
            <w:tcW w:w="1701" w:type="dxa"/>
            <w:vAlign w:val="center"/>
          </w:tcPr>
          <w:p w14:paraId="0073FBEB">
            <w:pPr>
              <w:rPr>
                <w:rFonts w:ascii="仿宋" w:hAnsi="仿宋" w:eastAsia="仿宋"/>
                <w:szCs w:val="21"/>
              </w:rPr>
            </w:pPr>
          </w:p>
        </w:tc>
        <w:tc>
          <w:tcPr>
            <w:tcW w:w="1275" w:type="dxa"/>
            <w:vAlign w:val="center"/>
          </w:tcPr>
          <w:p w14:paraId="7C941B91">
            <w:pPr>
              <w:rPr>
                <w:rFonts w:ascii="仿宋" w:hAnsi="仿宋" w:eastAsia="仿宋"/>
                <w:szCs w:val="21"/>
              </w:rPr>
            </w:pPr>
          </w:p>
        </w:tc>
        <w:tc>
          <w:tcPr>
            <w:tcW w:w="993" w:type="dxa"/>
            <w:vAlign w:val="center"/>
          </w:tcPr>
          <w:p w14:paraId="58F28888">
            <w:pPr>
              <w:rPr>
                <w:rFonts w:ascii="宋体" w:hAnsi="宋体" w:eastAsia="宋体"/>
                <w:szCs w:val="21"/>
              </w:rPr>
            </w:pPr>
            <w:r>
              <w:rPr>
                <w:rFonts w:hint="eastAsia" w:ascii="宋体" w:hAnsi="宋体" w:eastAsia="宋体"/>
                <w:szCs w:val="21"/>
              </w:rPr>
              <w:t>人事处</w:t>
            </w:r>
          </w:p>
        </w:tc>
        <w:tc>
          <w:tcPr>
            <w:tcW w:w="1559" w:type="dxa"/>
            <w:vAlign w:val="center"/>
          </w:tcPr>
          <w:p w14:paraId="6B6C9C59">
            <w:pPr>
              <w:rPr>
                <w:rFonts w:ascii="宋体" w:hAnsi="宋体" w:eastAsia="宋体"/>
                <w:szCs w:val="21"/>
              </w:rPr>
            </w:pPr>
            <w:r>
              <w:rPr>
                <w:rFonts w:hint="eastAsia" w:ascii="宋体" w:hAnsi="宋体" w:eastAsia="宋体"/>
                <w:szCs w:val="21"/>
              </w:rPr>
              <w:t>马克思主义学院、教育评价与教师发展中心、其他相关二级学院</w:t>
            </w:r>
          </w:p>
        </w:tc>
        <w:tc>
          <w:tcPr>
            <w:tcW w:w="567" w:type="dxa"/>
            <w:vAlign w:val="center"/>
          </w:tcPr>
          <w:p w14:paraId="40B70575">
            <w:pPr>
              <w:rPr>
                <w:rFonts w:ascii="仿宋" w:hAnsi="仿宋" w:eastAsia="仿宋"/>
                <w:szCs w:val="21"/>
              </w:rPr>
            </w:pPr>
          </w:p>
        </w:tc>
        <w:tc>
          <w:tcPr>
            <w:tcW w:w="567" w:type="dxa"/>
            <w:vAlign w:val="center"/>
          </w:tcPr>
          <w:p w14:paraId="48592E8C">
            <w:pPr>
              <w:rPr>
                <w:rFonts w:ascii="仿宋" w:hAnsi="仿宋" w:eastAsia="仿宋"/>
                <w:szCs w:val="21"/>
              </w:rPr>
            </w:pPr>
          </w:p>
        </w:tc>
      </w:tr>
      <w:tr w14:paraId="625E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5" w:hRule="atLeast"/>
          <w:jc w:val="center"/>
        </w:trPr>
        <w:tc>
          <w:tcPr>
            <w:tcW w:w="707" w:type="dxa"/>
            <w:vAlign w:val="center"/>
          </w:tcPr>
          <w:p w14:paraId="73D35BF6">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2</w:t>
            </w:r>
          </w:p>
        </w:tc>
        <w:tc>
          <w:tcPr>
            <w:tcW w:w="708" w:type="dxa"/>
            <w:vAlign w:val="center"/>
          </w:tcPr>
          <w:p w14:paraId="0E7BEF58">
            <w:pPr>
              <w:widowControl/>
              <w:adjustRightInd w:val="0"/>
              <w:snapToGrid w:val="0"/>
              <w:jc w:val="center"/>
              <w:rPr>
                <w:rFonts w:ascii="宋体" w:hAnsi="宋体" w:eastAsia="宋体" w:cs="仿宋"/>
                <w:b/>
                <w:bCs/>
                <w:kern w:val="0"/>
                <w:szCs w:val="21"/>
              </w:rPr>
            </w:pPr>
            <w:r>
              <w:rPr>
                <w:rFonts w:hint="eastAsia" w:ascii="宋体" w:hAnsi="宋体" w:eastAsia="宋体" w:cs="仿宋"/>
                <w:kern w:val="0"/>
                <w:szCs w:val="21"/>
              </w:rPr>
              <w:t>1.3本科地位</w:t>
            </w:r>
          </w:p>
        </w:tc>
        <w:tc>
          <w:tcPr>
            <w:tcW w:w="2124" w:type="dxa"/>
            <w:vAlign w:val="center"/>
          </w:tcPr>
          <w:p w14:paraId="4399C9ED">
            <w:pPr>
              <w:rPr>
                <w:rFonts w:ascii="宋体" w:hAnsi="宋体" w:eastAsia="宋体" w:cs="仿宋"/>
                <w:b/>
                <w:bCs/>
                <w:szCs w:val="21"/>
              </w:rPr>
            </w:pPr>
            <w:r>
              <w:rPr>
                <w:rFonts w:hint="eastAsia" w:ascii="宋体" w:hAnsi="宋体" w:eastAsia="宋体" w:cs="仿宋"/>
                <w:bCs/>
                <w:szCs w:val="21"/>
              </w:rPr>
              <w:t>学校的办学层次和资源条件与“优势突出、特色鲜明、区域国际知名度高的国内同类一流大学”办学目标尚不能完全匹配。目前仍然存在中职、高职等办学层次，且体量较大。</w:t>
            </w:r>
          </w:p>
        </w:tc>
        <w:tc>
          <w:tcPr>
            <w:tcW w:w="2693" w:type="dxa"/>
            <w:vAlign w:val="center"/>
          </w:tcPr>
          <w:p w14:paraId="7DE46375">
            <w:pPr>
              <w:rPr>
                <w:rFonts w:ascii="宋体" w:hAnsi="宋体" w:eastAsia="宋体" w:cs="仿宋"/>
                <w:bCs/>
                <w:szCs w:val="21"/>
              </w:rPr>
            </w:pPr>
            <w:r>
              <w:rPr>
                <w:rFonts w:hint="eastAsia" w:ascii="宋体" w:hAnsi="宋体" w:eastAsia="宋体" w:cs="仿宋"/>
                <w:bCs/>
                <w:szCs w:val="21"/>
              </w:rPr>
              <w:t>多措并举，筹措更多教学资源，特别是要争取自治区政府的大力支持，化解学校债务，持续加大教学投入。中职和高职教师、教学资源单独核算，并争取得到上级主管部门支持。</w:t>
            </w:r>
          </w:p>
          <w:p w14:paraId="3DC881F4">
            <w:pPr>
              <w:rPr>
                <w:rFonts w:ascii="宋体" w:hAnsi="宋体" w:eastAsia="宋体"/>
                <w:szCs w:val="21"/>
              </w:rPr>
            </w:pPr>
          </w:p>
          <w:p w14:paraId="502E509F">
            <w:pPr>
              <w:rPr>
                <w:rFonts w:ascii="宋体" w:hAnsi="宋体" w:eastAsia="宋体"/>
                <w:szCs w:val="21"/>
              </w:rPr>
            </w:pPr>
          </w:p>
          <w:p w14:paraId="1BD7BB95">
            <w:pPr>
              <w:rPr>
                <w:rFonts w:ascii="宋体" w:hAnsi="宋体" w:eastAsia="宋体"/>
                <w:szCs w:val="21"/>
              </w:rPr>
            </w:pPr>
          </w:p>
          <w:p w14:paraId="3E43F21C">
            <w:pPr>
              <w:rPr>
                <w:rFonts w:ascii="宋体" w:hAnsi="宋体" w:eastAsia="宋体" w:cs="仿宋"/>
                <w:bCs/>
                <w:szCs w:val="21"/>
              </w:rPr>
            </w:pPr>
          </w:p>
          <w:p w14:paraId="4FABF1BD">
            <w:pPr>
              <w:rPr>
                <w:rFonts w:ascii="宋体" w:hAnsi="宋体" w:eastAsia="宋体"/>
                <w:szCs w:val="21"/>
              </w:rPr>
            </w:pPr>
          </w:p>
          <w:p w14:paraId="1265CA23">
            <w:pPr>
              <w:rPr>
                <w:rFonts w:ascii="宋体" w:hAnsi="宋体" w:eastAsia="宋体" w:cs="仿宋"/>
                <w:bCs/>
                <w:szCs w:val="21"/>
              </w:rPr>
            </w:pPr>
          </w:p>
          <w:p w14:paraId="66085876">
            <w:pPr>
              <w:rPr>
                <w:rFonts w:ascii="宋体" w:hAnsi="宋体" w:eastAsia="宋体"/>
                <w:szCs w:val="21"/>
              </w:rPr>
            </w:pPr>
          </w:p>
        </w:tc>
        <w:tc>
          <w:tcPr>
            <w:tcW w:w="1701" w:type="dxa"/>
          </w:tcPr>
          <w:p w14:paraId="69368619">
            <w:pPr>
              <w:rPr>
                <w:rFonts w:ascii="仿宋" w:hAnsi="仿宋" w:eastAsia="仿宋"/>
                <w:szCs w:val="21"/>
              </w:rPr>
            </w:pPr>
          </w:p>
        </w:tc>
        <w:tc>
          <w:tcPr>
            <w:tcW w:w="1560" w:type="dxa"/>
            <w:vAlign w:val="center"/>
          </w:tcPr>
          <w:p w14:paraId="6BC3681D">
            <w:pPr>
              <w:rPr>
                <w:rFonts w:ascii="仿宋" w:hAnsi="仿宋" w:eastAsia="仿宋"/>
                <w:szCs w:val="21"/>
              </w:rPr>
            </w:pPr>
          </w:p>
        </w:tc>
        <w:tc>
          <w:tcPr>
            <w:tcW w:w="1701" w:type="dxa"/>
            <w:vAlign w:val="center"/>
          </w:tcPr>
          <w:p w14:paraId="427E041D">
            <w:pPr>
              <w:rPr>
                <w:rFonts w:ascii="仿宋" w:hAnsi="仿宋" w:eastAsia="仿宋"/>
                <w:szCs w:val="21"/>
              </w:rPr>
            </w:pPr>
          </w:p>
        </w:tc>
        <w:tc>
          <w:tcPr>
            <w:tcW w:w="1275" w:type="dxa"/>
            <w:vAlign w:val="center"/>
          </w:tcPr>
          <w:p w14:paraId="7770B5CE">
            <w:pPr>
              <w:rPr>
                <w:rFonts w:ascii="仿宋" w:hAnsi="仿宋" w:eastAsia="仿宋"/>
                <w:szCs w:val="21"/>
              </w:rPr>
            </w:pPr>
          </w:p>
        </w:tc>
        <w:tc>
          <w:tcPr>
            <w:tcW w:w="993" w:type="dxa"/>
            <w:vAlign w:val="center"/>
          </w:tcPr>
          <w:p w14:paraId="39FBA7E8">
            <w:pPr>
              <w:rPr>
                <w:rFonts w:ascii="宋体" w:hAnsi="宋体" w:eastAsia="宋体"/>
                <w:szCs w:val="21"/>
              </w:rPr>
            </w:pPr>
            <w:r>
              <w:rPr>
                <w:rFonts w:hint="eastAsia" w:ascii="宋体" w:hAnsi="宋体" w:eastAsia="宋体"/>
                <w:szCs w:val="21"/>
              </w:rPr>
              <w:t>发展规划与学科建设中心</w:t>
            </w:r>
          </w:p>
        </w:tc>
        <w:tc>
          <w:tcPr>
            <w:tcW w:w="1559" w:type="dxa"/>
            <w:vAlign w:val="center"/>
          </w:tcPr>
          <w:p w14:paraId="066543BB">
            <w:pPr>
              <w:rPr>
                <w:rFonts w:ascii="宋体" w:hAnsi="宋体" w:eastAsia="宋体"/>
                <w:szCs w:val="21"/>
              </w:rPr>
            </w:pPr>
            <w:r>
              <w:rPr>
                <w:rFonts w:hint="eastAsia" w:ascii="宋体" w:hAnsi="宋体" w:eastAsia="宋体"/>
                <w:szCs w:val="21"/>
              </w:rPr>
              <w:t>财务处、人事处、玉林校区管理中心、高等职业技术学院、其他相关二级学院</w:t>
            </w:r>
          </w:p>
        </w:tc>
        <w:tc>
          <w:tcPr>
            <w:tcW w:w="567" w:type="dxa"/>
            <w:vAlign w:val="center"/>
          </w:tcPr>
          <w:p w14:paraId="75E4053E">
            <w:pPr>
              <w:ind w:right="1260" w:rightChars="600"/>
              <w:rPr>
                <w:rFonts w:ascii="仿宋" w:hAnsi="仿宋" w:eastAsia="仿宋"/>
                <w:szCs w:val="21"/>
              </w:rPr>
            </w:pPr>
          </w:p>
        </w:tc>
        <w:tc>
          <w:tcPr>
            <w:tcW w:w="567" w:type="dxa"/>
            <w:vAlign w:val="center"/>
          </w:tcPr>
          <w:p w14:paraId="47AA1116">
            <w:pPr>
              <w:ind w:right="1260" w:rightChars="600"/>
              <w:rPr>
                <w:rFonts w:ascii="仿宋" w:hAnsi="仿宋" w:eastAsia="仿宋"/>
                <w:szCs w:val="21"/>
              </w:rPr>
            </w:pPr>
          </w:p>
        </w:tc>
      </w:tr>
      <w:tr w14:paraId="3231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jc w:val="center"/>
        </w:trPr>
        <w:tc>
          <w:tcPr>
            <w:tcW w:w="707" w:type="dxa"/>
            <w:vAlign w:val="center"/>
          </w:tcPr>
          <w:p w14:paraId="5796C74F">
            <w:pPr>
              <w:widowControl/>
              <w:adjustRightInd w:val="0"/>
              <w:snapToGrid w:val="0"/>
              <w:jc w:val="center"/>
              <w:rPr>
                <w:rFonts w:ascii="宋体" w:hAnsi="宋体" w:eastAsia="宋体"/>
                <w:kern w:val="0"/>
                <w:szCs w:val="21"/>
              </w:rPr>
            </w:pPr>
            <w:r>
              <w:rPr>
                <w:rFonts w:hint="eastAsia" w:ascii="宋体" w:hAnsi="宋体" w:eastAsia="宋体"/>
                <w:kern w:val="0"/>
                <w:szCs w:val="21"/>
              </w:rPr>
              <w:t>3</w:t>
            </w:r>
          </w:p>
        </w:tc>
        <w:tc>
          <w:tcPr>
            <w:tcW w:w="708" w:type="dxa"/>
            <w:vAlign w:val="center"/>
          </w:tcPr>
          <w:p w14:paraId="4E690355">
            <w:pPr>
              <w:widowControl/>
              <w:adjustRightInd w:val="0"/>
              <w:snapToGrid w:val="0"/>
              <w:jc w:val="center"/>
              <w:rPr>
                <w:rFonts w:ascii="宋体" w:hAnsi="宋体" w:eastAsia="宋体"/>
                <w:kern w:val="0"/>
                <w:szCs w:val="21"/>
              </w:rPr>
            </w:pPr>
            <w:r>
              <w:rPr>
                <w:rFonts w:hint="eastAsia" w:ascii="宋体" w:hAnsi="宋体" w:eastAsia="宋体" w:cs="仿宋"/>
                <w:kern w:val="0"/>
                <w:szCs w:val="21"/>
              </w:rPr>
              <w:t>1.3本科地位</w:t>
            </w:r>
          </w:p>
        </w:tc>
        <w:tc>
          <w:tcPr>
            <w:tcW w:w="2124" w:type="dxa"/>
            <w:vAlign w:val="center"/>
          </w:tcPr>
          <w:p w14:paraId="2DB1A15B">
            <w:pPr>
              <w:rPr>
                <w:rFonts w:ascii="宋体" w:hAnsi="宋体" w:eastAsia="宋体" w:cs="仿宋"/>
                <w:szCs w:val="21"/>
              </w:rPr>
            </w:pPr>
            <w:r>
              <w:rPr>
                <w:rFonts w:hint="eastAsia" w:ascii="宋体" w:hAnsi="宋体" w:eastAsia="宋体" w:cs="仿宋"/>
                <w:szCs w:val="21"/>
              </w:rPr>
              <w:t>学校办学特色还不够鲜明。</w:t>
            </w:r>
          </w:p>
        </w:tc>
        <w:tc>
          <w:tcPr>
            <w:tcW w:w="2693" w:type="dxa"/>
            <w:vAlign w:val="center"/>
          </w:tcPr>
          <w:p w14:paraId="1287F2DC">
            <w:pPr>
              <w:rPr>
                <w:rFonts w:ascii="宋体" w:hAnsi="宋体" w:eastAsia="宋体"/>
                <w:szCs w:val="21"/>
              </w:rPr>
            </w:pPr>
            <w:r>
              <w:rPr>
                <w:rFonts w:hint="eastAsia" w:ascii="宋体" w:hAnsi="宋体" w:eastAsia="宋体" w:cs="仿宋"/>
                <w:szCs w:val="21"/>
              </w:rPr>
              <w:t>进</w:t>
            </w:r>
            <w:r>
              <w:rPr>
                <w:rFonts w:hint="eastAsia" w:ascii="宋体" w:hAnsi="宋体" w:eastAsia="宋体"/>
                <w:szCs w:val="21"/>
              </w:rPr>
              <w:t>一步加强本科教育改革顶层设计，制定校级层面本科教育改革的中长期规划和行动计划。</w:t>
            </w:r>
          </w:p>
        </w:tc>
        <w:tc>
          <w:tcPr>
            <w:tcW w:w="1701" w:type="dxa"/>
          </w:tcPr>
          <w:p w14:paraId="047C8A63">
            <w:pPr>
              <w:rPr>
                <w:rFonts w:ascii="仿宋" w:hAnsi="仿宋" w:eastAsia="仿宋"/>
                <w:szCs w:val="21"/>
              </w:rPr>
            </w:pPr>
          </w:p>
        </w:tc>
        <w:tc>
          <w:tcPr>
            <w:tcW w:w="1560" w:type="dxa"/>
            <w:vAlign w:val="center"/>
          </w:tcPr>
          <w:p w14:paraId="38D5AEBD">
            <w:pPr>
              <w:rPr>
                <w:rFonts w:ascii="仿宋" w:hAnsi="仿宋" w:eastAsia="仿宋"/>
                <w:szCs w:val="21"/>
              </w:rPr>
            </w:pPr>
          </w:p>
        </w:tc>
        <w:tc>
          <w:tcPr>
            <w:tcW w:w="1701" w:type="dxa"/>
            <w:vAlign w:val="center"/>
          </w:tcPr>
          <w:p w14:paraId="789D5A07">
            <w:pPr>
              <w:rPr>
                <w:rFonts w:ascii="仿宋" w:hAnsi="仿宋" w:eastAsia="仿宋"/>
                <w:szCs w:val="21"/>
              </w:rPr>
            </w:pPr>
          </w:p>
        </w:tc>
        <w:tc>
          <w:tcPr>
            <w:tcW w:w="1275" w:type="dxa"/>
            <w:vAlign w:val="center"/>
          </w:tcPr>
          <w:p w14:paraId="4793C8C9">
            <w:pPr>
              <w:rPr>
                <w:rFonts w:ascii="仿宋" w:hAnsi="仿宋" w:eastAsia="仿宋"/>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B8AA5CF">
            <w:pPr>
              <w:rPr>
                <w:rFonts w:ascii="宋体" w:hAnsi="宋体" w:eastAsia="宋体"/>
                <w:szCs w:val="21"/>
              </w:rPr>
            </w:pPr>
            <w:r>
              <w:rPr>
                <w:rFonts w:hint="eastAsia" w:ascii="宋体" w:hAnsi="宋体" w:eastAsia="宋体"/>
                <w:szCs w:val="21"/>
              </w:rPr>
              <w:t>教务处</w:t>
            </w:r>
          </w:p>
        </w:tc>
        <w:tc>
          <w:tcPr>
            <w:tcW w:w="1559" w:type="dxa"/>
            <w:tcBorders>
              <w:top w:val="single" w:color="auto" w:sz="4" w:space="0"/>
              <w:left w:val="nil"/>
              <w:bottom w:val="single" w:color="auto" w:sz="4" w:space="0"/>
              <w:right w:val="single" w:color="auto" w:sz="4" w:space="0"/>
            </w:tcBorders>
            <w:shd w:val="clear" w:color="auto" w:fill="auto"/>
            <w:vAlign w:val="center"/>
          </w:tcPr>
          <w:p w14:paraId="6107A10E">
            <w:pPr>
              <w:rPr>
                <w:rFonts w:ascii="宋体" w:hAnsi="宋体" w:eastAsia="宋体"/>
                <w:szCs w:val="21"/>
              </w:rPr>
            </w:pPr>
            <w:r>
              <w:rPr>
                <w:rFonts w:hint="eastAsia" w:ascii="宋体" w:hAnsi="宋体" w:eastAsia="宋体"/>
                <w:szCs w:val="21"/>
              </w:rPr>
              <w:t>校内各单位</w:t>
            </w:r>
          </w:p>
        </w:tc>
        <w:tc>
          <w:tcPr>
            <w:tcW w:w="567" w:type="dxa"/>
            <w:vAlign w:val="center"/>
          </w:tcPr>
          <w:p w14:paraId="7CBA9263">
            <w:pPr>
              <w:rPr>
                <w:rFonts w:ascii="仿宋" w:hAnsi="仿宋" w:eastAsia="仿宋"/>
                <w:szCs w:val="21"/>
              </w:rPr>
            </w:pPr>
          </w:p>
        </w:tc>
        <w:tc>
          <w:tcPr>
            <w:tcW w:w="567" w:type="dxa"/>
            <w:vAlign w:val="center"/>
          </w:tcPr>
          <w:p w14:paraId="1C8EED48">
            <w:pPr>
              <w:rPr>
                <w:rFonts w:ascii="仿宋" w:hAnsi="仿宋" w:eastAsia="仿宋"/>
                <w:szCs w:val="21"/>
              </w:rPr>
            </w:pPr>
          </w:p>
        </w:tc>
      </w:tr>
      <w:tr w14:paraId="3D58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0" w:hRule="atLeast"/>
          <w:jc w:val="center"/>
        </w:trPr>
        <w:tc>
          <w:tcPr>
            <w:tcW w:w="707" w:type="dxa"/>
            <w:vAlign w:val="center"/>
          </w:tcPr>
          <w:p w14:paraId="36BF703E">
            <w:pPr>
              <w:adjustRightInd w:val="0"/>
              <w:snapToGrid w:val="0"/>
              <w:jc w:val="center"/>
              <w:rPr>
                <w:rFonts w:ascii="宋体" w:hAnsi="宋体" w:eastAsia="宋体" w:cs="仿宋"/>
                <w:kern w:val="0"/>
                <w:szCs w:val="21"/>
              </w:rPr>
            </w:pPr>
            <w:r>
              <w:rPr>
                <w:rFonts w:hint="eastAsia" w:ascii="宋体" w:hAnsi="宋体" w:eastAsia="宋体" w:cs="仿宋"/>
                <w:kern w:val="0"/>
                <w:szCs w:val="21"/>
              </w:rPr>
              <w:t>4</w:t>
            </w:r>
          </w:p>
        </w:tc>
        <w:tc>
          <w:tcPr>
            <w:tcW w:w="708" w:type="dxa"/>
            <w:vAlign w:val="center"/>
          </w:tcPr>
          <w:p w14:paraId="6941DBB4">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2.1培养方案</w:t>
            </w:r>
          </w:p>
        </w:tc>
        <w:tc>
          <w:tcPr>
            <w:tcW w:w="2124" w:type="dxa"/>
            <w:vAlign w:val="center"/>
          </w:tcPr>
          <w:p w14:paraId="1E9678C9">
            <w:pPr>
              <w:rPr>
                <w:rFonts w:ascii="宋体" w:hAnsi="宋体" w:eastAsia="宋体" w:cs="仿宋"/>
                <w:szCs w:val="21"/>
              </w:rPr>
            </w:pPr>
            <w:r>
              <w:rPr>
                <w:rFonts w:hint="eastAsia" w:ascii="宋体" w:hAnsi="宋体" w:eastAsia="宋体" w:cs="仿宋"/>
                <w:szCs w:val="21"/>
              </w:rPr>
              <w:t>学校学科建设与本科专业结合不够，部分学科和专业缺乏规划。学校部分专业人才培养目标，如养老服务管理专业、公共事业管理专业等人才培养目标与学校定位匹配度不够。</w:t>
            </w:r>
          </w:p>
        </w:tc>
        <w:tc>
          <w:tcPr>
            <w:tcW w:w="2693" w:type="dxa"/>
            <w:vAlign w:val="center"/>
          </w:tcPr>
          <w:p w14:paraId="0DA47C2F">
            <w:pPr>
              <w:rPr>
                <w:rFonts w:ascii="宋体" w:hAnsi="宋体" w:eastAsia="宋体"/>
                <w:szCs w:val="21"/>
              </w:rPr>
            </w:pPr>
            <w:r>
              <w:rPr>
                <w:rFonts w:hint="eastAsia" w:ascii="宋体" w:hAnsi="宋体" w:eastAsia="宋体" w:cs="仿宋"/>
                <w:szCs w:val="21"/>
              </w:rPr>
              <w:t>学</w:t>
            </w:r>
            <w:r>
              <w:rPr>
                <w:rFonts w:hint="eastAsia" w:ascii="宋体" w:hAnsi="宋体" w:eastAsia="宋体"/>
                <w:szCs w:val="21"/>
              </w:rPr>
              <w:t>校应进一步明确本科办学中心地位，进一步优化学院设置，压实学院在一级学科建设方面的主体责任，布局专业发展规划，加强学科与专业的一体化设计。根据学校办学定位，完善人才培养方案，明确专业人才培养目标定位。</w:t>
            </w:r>
          </w:p>
        </w:tc>
        <w:tc>
          <w:tcPr>
            <w:tcW w:w="1701" w:type="dxa"/>
          </w:tcPr>
          <w:p w14:paraId="7A3CBD49">
            <w:pPr>
              <w:rPr>
                <w:rFonts w:ascii="仿宋" w:hAnsi="仿宋" w:eastAsia="仿宋"/>
                <w:szCs w:val="21"/>
              </w:rPr>
            </w:pPr>
          </w:p>
        </w:tc>
        <w:tc>
          <w:tcPr>
            <w:tcW w:w="1560" w:type="dxa"/>
            <w:vAlign w:val="center"/>
          </w:tcPr>
          <w:p w14:paraId="07368BCA">
            <w:pPr>
              <w:rPr>
                <w:rFonts w:ascii="仿宋" w:hAnsi="仿宋" w:eastAsia="仿宋"/>
                <w:szCs w:val="21"/>
              </w:rPr>
            </w:pPr>
          </w:p>
        </w:tc>
        <w:tc>
          <w:tcPr>
            <w:tcW w:w="1701" w:type="dxa"/>
            <w:vAlign w:val="center"/>
          </w:tcPr>
          <w:p w14:paraId="529D7802">
            <w:pPr>
              <w:rPr>
                <w:rFonts w:ascii="仿宋" w:hAnsi="仿宋" w:eastAsia="仿宋"/>
                <w:szCs w:val="21"/>
              </w:rPr>
            </w:pPr>
          </w:p>
        </w:tc>
        <w:tc>
          <w:tcPr>
            <w:tcW w:w="1275" w:type="dxa"/>
            <w:vAlign w:val="center"/>
          </w:tcPr>
          <w:p w14:paraId="7E11C455">
            <w:pPr>
              <w:rPr>
                <w:rFonts w:ascii="仿宋" w:hAnsi="仿宋" w:eastAsia="仿宋"/>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AA5E865">
            <w:pPr>
              <w:rPr>
                <w:rFonts w:ascii="宋体" w:hAnsi="宋体" w:eastAsia="宋体"/>
                <w:szCs w:val="21"/>
              </w:rPr>
            </w:pPr>
            <w:r>
              <w:rPr>
                <w:rFonts w:hint="eastAsia" w:ascii="宋体" w:hAnsi="宋体" w:eastAsia="宋体"/>
                <w:szCs w:val="21"/>
              </w:rPr>
              <w:t>教务处</w:t>
            </w:r>
          </w:p>
        </w:tc>
        <w:tc>
          <w:tcPr>
            <w:tcW w:w="1559" w:type="dxa"/>
            <w:tcBorders>
              <w:top w:val="single" w:color="auto" w:sz="4" w:space="0"/>
              <w:left w:val="nil"/>
              <w:bottom w:val="single" w:color="auto" w:sz="4" w:space="0"/>
              <w:right w:val="single" w:color="auto" w:sz="4" w:space="0"/>
            </w:tcBorders>
            <w:shd w:val="clear" w:color="auto" w:fill="auto"/>
            <w:vAlign w:val="center"/>
          </w:tcPr>
          <w:p w14:paraId="19D11361">
            <w:pPr>
              <w:rPr>
                <w:rFonts w:ascii="宋体" w:hAnsi="宋体" w:eastAsia="宋体"/>
                <w:szCs w:val="21"/>
              </w:rPr>
            </w:pPr>
            <w:r>
              <w:rPr>
                <w:rFonts w:hint="eastAsia" w:ascii="宋体" w:hAnsi="宋体" w:eastAsia="宋体"/>
                <w:szCs w:val="21"/>
              </w:rPr>
              <w:t>发展规划与学科建设中心、人文社会科学学院、信息与管理学院、其他相关二级学院</w:t>
            </w:r>
          </w:p>
        </w:tc>
        <w:tc>
          <w:tcPr>
            <w:tcW w:w="567" w:type="dxa"/>
            <w:vAlign w:val="center"/>
          </w:tcPr>
          <w:p w14:paraId="04E13BEB">
            <w:pPr>
              <w:rPr>
                <w:rFonts w:ascii="仿宋" w:hAnsi="仿宋" w:eastAsia="仿宋"/>
                <w:szCs w:val="21"/>
              </w:rPr>
            </w:pPr>
          </w:p>
        </w:tc>
        <w:tc>
          <w:tcPr>
            <w:tcW w:w="567" w:type="dxa"/>
            <w:vAlign w:val="center"/>
          </w:tcPr>
          <w:p w14:paraId="4FC46B61">
            <w:pPr>
              <w:rPr>
                <w:rFonts w:ascii="仿宋" w:hAnsi="仿宋" w:eastAsia="仿宋"/>
                <w:szCs w:val="21"/>
              </w:rPr>
            </w:pPr>
          </w:p>
        </w:tc>
      </w:tr>
      <w:tr w14:paraId="59D1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7" w:hRule="atLeast"/>
          <w:jc w:val="center"/>
        </w:trPr>
        <w:tc>
          <w:tcPr>
            <w:tcW w:w="707" w:type="dxa"/>
            <w:vAlign w:val="center"/>
          </w:tcPr>
          <w:p w14:paraId="7F9817AA">
            <w:pPr>
              <w:adjustRightInd w:val="0"/>
              <w:snapToGrid w:val="0"/>
              <w:jc w:val="center"/>
              <w:rPr>
                <w:rFonts w:ascii="宋体" w:hAnsi="宋体" w:eastAsia="宋体" w:cs="仿宋"/>
                <w:kern w:val="0"/>
                <w:szCs w:val="21"/>
              </w:rPr>
            </w:pPr>
            <w:r>
              <w:rPr>
                <w:rFonts w:hint="eastAsia" w:ascii="宋体" w:hAnsi="宋体" w:eastAsia="宋体" w:cs="仿宋"/>
                <w:kern w:val="0"/>
                <w:szCs w:val="21"/>
              </w:rPr>
              <w:t>5</w:t>
            </w:r>
          </w:p>
        </w:tc>
        <w:tc>
          <w:tcPr>
            <w:tcW w:w="708" w:type="dxa"/>
            <w:vAlign w:val="center"/>
          </w:tcPr>
          <w:p w14:paraId="08D0D44A">
            <w:pPr>
              <w:adjustRightInd w:val="0"/>
              <w:snapToGrid w:val="0"/>
              <w:jc w:val="center"/>
              <w:rPr>
                <w:rFonts w:ascii="宋体" w:hAnsi="宋体" w:eastAsia="宋体" w:cs="仿宋"/>
                <w:kern w:val="0"/>
                <w:szCs w:val="21"/>
              </w:rPr>
            </w:pPr>
            <w:r>
              <w:rPr>
                <w:rFonts w:hint="eastAsia" w:ascii="宋体" w:hAnsi="宋体" w:eastAsia="宋体" w:cs="仿宋"/>
                <w:kern w:val="0"/>
                <w:szCs w:val="21"/>
              </w:rPr>
              <w:t>2.2专业建设</w:t>
            </w:r>
          </w:p>
        </w:tc>
        <w:tc>
          <w:tcPr>
            <w:tcW w:w="2124" w:type="dxa"/>
            <w:vAlign w:val="center"/>
          </w:tcPr>
          <w:p w14:paraId="4E6CD45A">
            <w:pPr>
              <w:rPr>
                <w:rFonts w:ascii="宋体" w:hAnsi="宋体" w:eastAsia="宋体" w:cs="仿宋"/>
                <w:szCs w:val="21"/>
              </w:rPr>
            </w:pPr>
            <w:r>
              <w:rPr>
                <w:rFonts w:hint="eastAsia" w:ascii="宋体" w:hAnsi="宋体" w:eastAsia="宋体" w:cs="仿宋"/>
                <w:szCs w:val="21"/>
              </w:rPr>
              <w:t>学校专业人才培养方案制定尚未有效体现“学生中心、产出导向、持续改进”，OBE理念还没有贯穿到教育教学的全过程。部分管理人员及教师对“产出导向”的教育理念理解不充分、不透彻。</w:t>
            </w:r>
          </w:p>
        </w:tc>
        <w:tc>
          <w:tcPr>
            <w:tcW w:w="2693" w:type="dxa"/>
            <w:vAlign w:val="center"/>
          </w:tcPr>
          <w:p w14:paraId="401B66BF">
            <w:pPr>
              <w:rPr>
                <w:rFonts w:ascii="宋体" w:hAnsi="宋体" w:eastAsia="宋体"/>
                <w:szCs w:val="21"/>
              </w:rPr>
            </w:pPr>
            <w:r>
              <w:rPr>
                <w:rFonts w:hint="eastAsia" w:ascii="宋体" w:hAnsi="宋体" w:eastAsia="宋体" w:cs="仿宋"/>
                <w:szCs w:val="21"/>
              </w:rPr>
              <w:t>进一步凝练专业特色，推进信息技术与教学融合，持续推进国家级、省级一流本科专业建设点内涵建设。学校应将先进的教育理念、教学示范典型案例融入师资培训内容；加强师资培训，将OBE理念贯穿于培养方案制定、课堂教学设计以及考核等各教学环节；充分利用线上课程教学资源，制定相应的激励政策，激发学院、基层教学组织内生动力，促进教师潜心开展教学和科研活动，做到科教融汇，科研反哺教学。</w:t>
            </w:r>
          </w:p>
        </w:tc>
        <w:tc>
          <w:tcPr>
            <w:tcW w:w="1701" w:type="dxa"/>
          </w:tcPr>
          <w:p w14:paraId="7641965C">
            <w:pPr>
              <w:rPr>
                <w:rFonts w:ascii="仿宋" w:hAnsi="仿宋" w:eastAsia="仿宋"/>
                <w:szCs w:val="21"/>
              </w:rPr>
            </w:pPr>
          </w:p>
        </w:tc>
        <w:tc>
          <w:tcPr>
            <w:tcW w:w="1560" w:type="dxa"/>
            <w:vAlign w:val="center"/>
          </w:tcPr>
          <w:p w14:paraId="4D32339E">
            <w:pPr>
              <w:rPr>
                <w:rFonts w:ascii="仿宋" w:hAnsi="仿宋" w:eastAsia="仿宋"/>
                <w:szCs w:val="21"/>
              </w:rPr>
            </w:pPr>
          </w:p>
        </w:tc>
        <w:tc>
          <w:tcPr>
            <w:tcW w:w="1701" w:type="dxa"/>
            <w:vAlign w:val="center"/>
          </w:tcPr>
          <w:p w14:paraId="19F31954">
            <w:pPr>
              <w:rPr>
                <w:rFonts w:ascii="仿宋" w:hAnsi="仿宋" w:eastAsia="仿宋"/>
                <w:szCs w:val="21"/>
              </w:rPr>
            </w:pPr>
          </w:p>
        </w:tc>
        <w:tc>
          <w:tcPr>
            <w:tcW w:w="1275" w:type="dxa"/>
            <w:vAlign w:val="center"/>
          </w:tcPr>
          <w:p w14:paraId="1E1F78B2">
            <w:pPr>
              <w:rPr>
                <w:rFonts w:ascii="仿宋" w:hAnsi="仿宋" w:eastAsia="仿宋"/>
                <w:szCs w:val="21"/>
              </w:rPr>
            </w:pPr>
          </w:p>
        </w:tc>
        <w:tc>
          <w:tcPr>
            <w:tcW w:w="993" w:type="dxa"/>
            <w:tcBorders>
              <w:top w:val="nil"/>
              <w:left w:val="single" w:color="auto" w:sz="4" w:space="0"/>
              <w:bottom w:val="single" w:color="auto" w:sz="4" w:space="0"/>
              <w:right w:val="single" w:color="auto" w:sz="4" w:space="0"/>
            </w:tcBorders>
            <w:shd w:val="clear" w:color="auto" w:fill="auto"/>
            <w:vAlign w:val="center"/>
          </w:tcPr>
          <w:p w14:paraId="3865FB96">
            <w:pPr>
              <w:rPr>
                <w:rFonts w:ascii="宋体" w:hAnsi="宋体" w:eastAsia="宋体"/>
                <w:szCs w:val="21"/>
              </w:rPr>
            </w:pPr>
            <w:r>
              <w:rPr>
                <w:rFonts w:hint="eastAsia" w:ascii="宋体" w:hAnsi="宋体" w:eastAsia="宋体"/>
                <w:szCs w:val="21"/>
              </w:rPr>
              <w:t>教务处</w:t>
            </w:r>
          </w:p>
        </w:tc>
        <w:tc>
          <w:tcPr>
            <w:tcW w:w="1559" w:type="dxa"/>
            <w:tcBorders>
              <w:top w:val="nil"/>
              <w:left w:val="nil"/>
              <w:bottom w:val="single" w:color="auto" w:sz="4" w:space="0"/>
              <w:right w:val="single" w:color="auto" w:sz="4" w:space="0"/>
            </w:tcBorders>
            <w:shd w:val="clear" w:color="auto" w:fill="auto"/>
            <w:vAlign w:val="center"/>
          </w:tcPr>
          <w:p w14:paraId="3B7188CD">
            <w:pPr>
              <w:rPr>
                <w:rFonts w:ascii="宋体" w:hAnsi="宋体" w:eastAsia="宋体"/>
                <w:szCs w:val="21"/>
              </w:rPr>
            </w:pPr>
            <w:r>
              <w:rPr>
                <w:rFonts w:hint="eastAsia" w:ascii="宋体" w:hAnsi="宋体" w:eastAsia="宋体"/>
                <w:szCs w:val="21"/>
              </w:rPr>
              <w:t>教育评价与教师发展中心、人事处、科技处、各二级学院</w:t>
            </w:r>
          </w:p>
        </w:tc>
        <w:tc>
          <w:tcPr>
            <w:tcW w:w="567" w:type="dxa"/>
            <w:vAlign w:val="center"/>
          </w:tcPr>
          <w:p w14:paraId="0D99FC1D">
            <w:pPr>
              <w:rPr>
                <w:rFonts w:ascii="仿宋" w:hAnsi="仿宋" w:eastAsia="仿宋"/>
                <w:szCs w:val="21"/>
              </w:rPr>
            </w:pPr>
          </w:p>
        </w:tc>
        <w:tc>
          <w:tcPr>
            <w:tcW w:w="567" w:type="dxa"/>
            <w:vAlign w:val="center"/>
          </w:tcPr>
          <w:p w14:paraId="67699DA1">
            <w:pPr>
              <w:rPr>
                <w:rFonts w:ascii="仿宋" w:hAnsi="仿宋" w:eastAsia="仿宋"/>
                <w:szCs w:val="21"/>
              </w:rPr>
            </w:pPr>
          </w:p>
        </w:tc>
      </w:tr>
      <w:tr w14:paraId="22AE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3" w:hRule="atLeast"/>
          <w:jc w:val="center"/>
        </w:trPr>
        <w:tc>
          <w:tcPr>
            <w:tcW w:w="707" w:type="dxa"/>
            <w:vAlign w:val="center"/>
          </w:tcPr>
          <w:p w14:paraId="44D52407">
            <w:pPr>
              <w:widowControl/>
              <w:adjustRightInd w:val="0"/>
              <w:snapToGrid w:val="0"/>
              <w:jc w:val="center"/>
              <w:rPr>
                <w:rFonts w:ascii="宋体" w:hAnsi="宋体" w:eastAsia="宋体"/>
                <w:kern w:val="0"/>
                <w:szCs w:val="21"/>
              </w:rPr>
            </w:pPr>
            <w:r>
              <w:rPr>
                <w:rFonts w:hint="eastAsia" w:ascii="宋体" w:hAnsi="宋体" w:eastAsia="宋体"/>
                <w:kern w:val="0"/>
                <w:szCs w:val="21"/>
              </w:rPr>
              <w:t>6</w:t>
            </w:r>
          </w:p>
        </w:tc>
        <w:tc>
          <w:tcPr>
            <w:tcW w:w="708" w:type="dxa"/>
            <w:vAlign w:val="center"/>
          </w:tcPr>
          <w:p w14:paraId="3FD40ADE">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2.3实践教学</w:t>
            </w:r>
          </w:p>
        </w:tc>
        <w:tc>
          <w:tcPr>
            <w:tcW w:w="2124" w:type="dxa"/>
            <w:vAlign w:val="center"/>
          </w:tcPr>
          <w:p w14:paraId="44B1B6D2">
            <w:pPr>
              <w:rPr>
                <w:rFonts w:ascii="宋体" w:hAnsi="宋体" w:eastAsia="宋体" w:cs="仿宋"/>
                <w:szCs w:val="21"/>
              </w:rPr>
            </w:pPr>
            <w:r>
              <w:rPr>
                <w:rFonts w:hint="eastAsia" w:ascii="宋体" w:hAnsi="宋体" w:eastAsia="宋体" w:cs="仿宋"/>
                <w:szCs w:val="21"/>
              </w:rPr>
              <w:t>实践教学基地承担多学历层次实践教学任务，“双师双能型”教师承担校内多门课程教学任务，教学工作负荷重，教学投入不足。</w:t>
            </w:r>
          </w:p>
        </w:tc>
        <w:tc>
          <w:tcPr>
            <w:tcW w:w="2693" w:type="dxa"/>
            <w:vAlign w:val="center"/>
          </w:tcPr>
          <w:p w14:paraId="70BF7DC3">
            <w:pPr>
              <w:rPr>
                <w:rFonts w:ascii="宋体" w:hAnsi="宋体" w:eastAsia="宋体"/>
                <w:szCs w:val="21"/>
              </w:rPr>
            </w:pPr>
            <w:r>
              <w:rPr>
                <w:rFonts w:hint="eastAsia" w:ascii="宋体" w:hAnsi="宋体" w:eastAsia="宋体" w:cs="仿宋"/>
                <w:szCs w:val="21"/>
              </w:rPr>
              <w:t>实践教学环节是教育教学中重要环节，学校拓宽与实践教学基地在教学研究、科研合作渠道，建立校院两级有组织的教学、科研体制机制，以临床发现、科学研究为纽带，促进学术型人才培养高质量发展。</w:t>
            </w:r>
          </w:p>
        </w:tc>
        <w:tc>
          <w:tcPr>
            <w:tcW w:w="1701" w:type="dxa"/>
          </w:tcPr>
          <w:p w14:paraId="7D489C1F">
            <w:pPr>
              <w:rPr>
                <w:rFonts w:ascii="仿宋" w:hAnsi="仿宋" w:eastAsia="仿宋"/>
                <w:szCs w:val="21"/>
              </w:rPr>
            </w:pPr>
          </w:p>
        </w:tc>
        <w:tc>
          <w:tcPr>
            <w:tcW w:w="1560" w:type="dxa"/>
            <w:vAlign w:val="center"/>
          </w:tcPr>
          <w:p w14:paraId="659A3BE2">
            <w:pPr>
              <w:rPr>
                <w:rFonts w:ascii="仿宋" w:hAnsi="仿宋" w:eastAsia="仿宋"/>
                <w:szCs w:val="21"/>
              </w:rPr>
            </w:pPr>
          </w:p>
        </w:tc>
        <w:tc>
          <w:tcPr>
            <w:tcW w:w="1701" w:type="dxa"/>
            <w:vAlign w:val="center"/>
          </w:tcPr>
          <w:p w14:paraId="68F83939">
            <w:pPr>
              <w:rPr>
                <w:rFonts w:ascii="仿宋" w:hAnsi="仿宋" w:eastAsia="仿宋"/>
                <w:szCs w:val="21"/>
              </w:rPr>
            </w:pPr>
          </w:p>
        </w:tc>
        <w:tc>
          <w:tcPr>
            <w:tcW w:w="1275" w:type="dxa"/>
            <w:vAlign w:val="center"/>
          </w:tcPr>
          <w:p w14:paraId="15B81DAC">
            <w:pPr>
              <w:rPr>
                <w:rFonts w:ascii="仿宋" w:hAnsi="仿宋" w:eastAsia="仿宋"/>
                <w:szCs w:val="21"/>
              </w:rPr>
            </w:pPr>
          </w:p>
        </w:tc>
        <w:tc>
          <w:tcPr>
            <w:tcW w:w="993" w:type="dxa"/>
            <w:tcBorders>
              <w:top w:val="nil"/>
              <w:left w:val="single" w:color="auto" w:sz="4" w:space="0"/>
              <w:bottom w:val="single" w:color="auto" w:sz="4" w:space="0"/>
              <w:right w:val="single" w:color="auto" w:sz="4" w:space="0"/>
            </w:tcBorders>
            <w:shd w:val="clear" w:color="auto" w:fill="auto"/>
            <w:vAlign w:val="center"/>
          </w:tcPr>
          <w:p w14:paraId="5356FA6B">
            <w:pPr>
              <w:rPr>
                <w:rFonts w:ascii="宋体" w:hAnsi="宋体" w:eastAsia="宋体"/>
                <w:szCs w:val="21"/>
              </w:rPr>
            </w:pPr>
            <w:r>
              <w:rPr>
                <w:rFonts w:hint="eastAsia" w:ascii="宋体" w:hAnsi="宋体" w:eastAsia="宋体"/>
                <w:szCs w:val="21"/>
              </w:rPr>
              <w:t>教务处</w:t>
            </w:r>
          </w:p>
        </w:tc>
        <w:tc>
          <w:tcPr>
            <w:tcW w:w="1559" w:type="dxa"/>
            <w:tcBorders>
              <w:top w:val="nil"/>
              <w:left w:val="nil"/>
              <w:bottom w:val="single" w:color="auto" w:sz="4" w:space="0"/>
              <w:right w:val="single" w:color="auto" w:sz="4" w:space="0"/>
            </w:tcBorders>
            <w:shd w:val="clear" w:color="auto" w:fill="auto"/>
            <w:vAlign w:val="center"/>
          </w:tcPr>
          <w:p w14:paraId="4AD1B7C8">
            <w:pPr>
              <w:rPr>
                <w:rFonts w:ascii="宋体" w:hAnsi="宋体" w:eastAsia="宋体"/>
                <w:szCs w:val="21"/>
              </w:rPr>
            </w:pPr>
            <w:r>
              <w:rPr>
                <w:rFonts w:hint="eastAsia" w:ascii="宋体" w:hAnsi="宋体" w:eastAsia="宋体"/>
                <w:szCs w:val="21"/>
              </w:rPr>
              <w:t>教育评价与教师发展中心、科技处、各二级学院</w:t>
            </w:r>
          </w:p>
        </w:tc>
        <w:tc>
          <w:tcPr>
            <w:tcW w:w="567" w:type="dxa"/>
            <w:vAlign w:val="center"/>
          </w:tcPr>
          <w:p w14:paraId="6A84567C">
            <w:pPr>
              <w:rPr>
                <w:rFonts w:ascii="仿宋" w:hAnsi="仿宋" w:eastAsia="仿宋"/>
                <w:szCs w:val="21"/>
              </w:rPr>
            </w:pPr>
          </w:p>
        </w:tc>
        <w:tc>
          <w:tcPr>
            <w:tcW w:w="567" w:type="dxa"/>
            <w:vAlign w:val="center"/>
          </w:tcPr>
          <w:p w14:paraId="71F6C349">
            <w:pPr>
              <w:rPr>
                <w:rFonts w:ascii="仿宋" w:hAnsi="仿宋" w:eastAsia="仿宋"/>
                <w:szCs w:val="21"/>
              </w:rPr>
            </w:pPr>
          </w:p>
        </w:tc>
      </w:tr>
      <w:tr w14:paraId="575C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7" w:type="dxa"/>
            <w:vAlign w:val="center"/>
          </w:tcPr>
          <w:p w14:paraId="26C08F7D">
            <w:pPr>
              <w:widowControl/>
              <w:adjustRightInd w:val="0"/>
              <w:snapToGrid w:val="0"/>
              <w:jc w:val="center"/>
              <w:rPr>
                <w:rFonts w:ascii="宋体" w:hAnsi="宋体" w:eastAsia="宋体"/>
                <w:kern w:val="0"/>
                <w:szCs w:val="21"/>
              </w:rPr>
            </w:pPr>
            <w:r>
              <w:rPr>
                <w:rFonts w:hint="eastAsia" w:ascii="宋体" w:hAnsi="宋体" w:eastAsia="宋体"/>
                <w:kern w:val="0"/>
                <w:szCs w:val="21"/>
              </w:rPr>
              <w:t>7</w:t>
            </w:r>
          </w:p>
        </w:tc>
        <w:tc>
          <w:tcPr>
            <w:tcW w:w="708" w:type="dxa"/>
            <w:vAlign w:val="center"/>
          </w:tcPr>
          <w:p w14:paraId="444D8088">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2.4课堂教学</w:t>
            </w:r>
          </w:p>
        </w:tc>
        <w:tc>
          <w:tcPr>
            <w:tcW w:w="2124" w:type="dxa"/>
            <w:vAlign w:val="center"/>
          </w:tcPr>
          <w:p w14:paraId="6C48BE3D">
            <w:pPr>
              <w:rPr>
                <w:rFonts w:ascii="宋体" w:hAnsi="宋体" w:eastAsia="宋体" w:cs="仿宋"/>
                <w:szCs w:val="21"/>
              </w:rPr>
            </w:pPr>
            <w:r>
              <w:rPr>
                <w:rFonts w:hint="eastAsia" w:ascii="宋体" w:hAnsi="宋体" w:eastAsia="宋体" w:cs="仿宋"/>
                <w:szCs w:val="21"/>
              </w:rPr>
              <w:t>课堂教学形式及手段仍以传统讲授方式为主，</w:t>
            </w:r>
            <w:bookmarkStart w:id="4" w:name="_Hlk161414359"/>
            <w:r>
              <w:rPr>
                <w:rFonts w:hint="eastAsia" w:ascii="宋体" w:hAnsi="宋体" w:eastAsia="宋体" w:cs="仿宋"/>
                <w:szCs w:val="21"/>
              </w:rPr>
              <w:t>考试模式比较传统。</w:t>
            </w:r>
            <w:bookmarkEnd w:id="4"/>
            <w:r>
              <w:rPr>
                <w:rFonts w:hint="eastAsia" w:ascii="宋体" w:hAnsi="宋体" w:eastAsia="宋体" w:cs="仿宋"/>
                <w:szCs w:val="21"/>
              </w:rPr>
              <w:t>课堂教学与现代教育技术的融合不够充分。课堂教学内容“两性一度”不足以支撑高水平本科教育教学活动，课堂教学成效不够凸显。</w:t>
            </w:r>
          </w:p>
        </w:tc>
        <w:tc>
          <w:tcPr>
            <w:tcW w:w="2693" w:type="dxa"/>
            <w:vAlign w:val="center"/>
          </w:tcPr>
          <w:p w14:paraId="3DB72C63">
            <w:pPr>
              <w:rPr>
                <w:rFonts w:ascii="宋体" w:hAnsi="宋体" w:eastAsia="宋体"/>
                <w:szCs w:val="21"/>
              </w:rPr>
            </w:pPr>
            <w:r>
              <w:rPr>
                <w:rFonts w:hint="eastAsia" w:ascii="宋体" w:hAnsi="宋体" w:eastAsia="宋体" w:cs="仿宋"/>
                <w:szCs w:val="21"/>
              </w:rPr>
              <w:t>加强信息化精细化教学管理，优化课堂教学设计，促进现代信息技术与教育教学管理的深度结合。开展教学模式改革，充分利用线上课程资源，提高学生学习自觉性，降低教师教学工作量“减课时不减学时”，让教师潜心教学研究。进一步探索构建以学生为中心的现代教育模式，更新教师教学理念，加大教学改革力度，改革教学方法，优化课堂教学设计，围绕学生学习成效设计考核和评价。</w:t>
            </w:r>
          </w:p>
        </w:tc>
        <w:tc>
          <w:tcPr>
            <w:tcW w:w="1701" w:type="dxa"/>
          </w:tcPr>
          <w:p w14:paraId="372EA01E">
            <w:pPr>
              <w:rPr>
                <w:rFonts w:ascii="仿宋" w:hAnsi="仿宋" w:eastAsia="仿宋"/>
                <w:szCs w:val="21"/>
              </w:rPr>
            </w:pPr>
          </w:p>
        </w:tc>
        <w:tc>
          <w:tcPr>
            <w:tcW w:w="1560" w:type="dxa"/>
            <w:vAlign w:val="center"/>
          </w:tcPr>
          <w:p w14:paraId="12C163B0">
            <w:pPr>
              <w:rPr>
                <w:rFonts w:ascii="仿宋" w:hAnsi="仿宋" w:eastAsia="仿宋"/>
                <w:szCs w:val="21"/>
              </w:rPr>
            </w:pPr>
          </w:p>
        </w:tc>
        <w:tc>
          <w:tcPr>
            <w:tcW w:w="1701" w:type="dxa"/>
            <w:vAlign w:val="center"/>
          </w:tcPr>
          <w:p w14:paraId="201A00AD">
            <w:pPr>
              <w:rPr>
                <w:rFonts w:ascii="仿宋" w:hAnsi="仿宋" w:eastAsia="仿宋"/>
                <w:szCs w:val="21"/>
              </w:rPr>
            </w:pPr>
          </w:p>
        </w:tc>
        <w:tc>
          <w:tcPr>
            <w:tcW w:w="1275" w:type="dxa"/>
            <w:vAlign w:val="center"/>
          </w:tcPr>
          <w:p w14:paraId="2098A6FF">
            <w:pPr>
              <w:rPr>
                <w:rFonts w:ascii="仿宋" w:hAnsi="仿宋" w:eastAsia="仿宋"/>
                <w:szCs w:val="21"/>
              </w:rPr>
            </w:pPr>
          </w:p>
        </w:tc>
        <w:tc>
          <w:tcPr>
            <w:tcW w:w="993" w:type="dxa"/>
            <w:tcBorders>
              <w:top w:val="nil"/>
              <w:left w:val="single" w:color="auto" w:sz="4" w:space="0"/>
              <w:bottom w:val="single" w:color="auto" w:sz="4" w:space="0"/>
              <w:right w:val="single" w:color="auto" w:sz="4" w:space="0"/>
            </w:tcBorders>
            <w:shd w:val="clear" w:color="auto" w:fill="auto"/>
            <w:vAlign w:val="center"/>
          </w:tcPr>
          <w:p w14:paraId="1B4B3651">
            <w:pPr>
              <w:rPr>
                <w:rFonts w:ascii="宋体" w:hAnsi="宋体" w:eastAsia="宋体"/>
                <w:szCs w:val="21"/>
              </w:rPr>
            </w:pPr>
            <w:r>
              <w:rPr>
                <w:rFonts w:hint="eastAsia" w:ascii="宋体" w:hAnsi="宋体" w:eastAsia="宋体"/>
                <w:szCs w:val="21"/>
              </w:rPr>
              <w:t>教务处</w:t>
            </w:r>
          </w:p>
        </w:tc>
        <w:tc>
          <w:tcPr>
            <w:tcW w:w="1559" w:type="dxa"/>
            <w:tcBorders>
              <w:top w:val="nil"/>
              <w:left w:val="nil"/>
              <w:bottom w:val="single" w:color="auto" w:sz="4" w:space="0"/>
              <w:right w:val="single" w:color="auto" w:sz="4" w:space="0"/>
            </w:tcBorders>
            <w:shd w:val="clear" w:color="auto" w:fill="auto"/>
            <w:vAlign w:val="center"/>
          </w:tcPr>
          <w:p w14:paraId="2F6F8550">
            <w:pPr>
              <w:rPr>
                <w:rFonts w:ascii="宋体" w:hAnsi="宋体" w:eastAsia="宋体"/>
                <w:szCs w:val="21"/>
              </w:rPr>
            </w:pPr>
            <w:r>
              <w:rPr>
                <w:rFonts w:hint="eastAsia" w:ascii="宋体" w:hAnsi="宋体" w:eastAsia="宋体"/>
                <w:szCs w:val="21"/>
              </w:rPr>
              <w:t>教育评价与教师发展中心、各二级学院</w:t>
            </w:r>
          </w:p>
        </w:tc>
        <w:tc>
          <w:tcPr>
            <w:tcW w:w="567" w:type="dxa"/>
            <w:vAlign w:val="center"/>
          </w:tcPr>
          <w:p w14:paraId="645A1744">
            <w:pPr>
              <w:rPr>
                <w:rFonts w:ascii="仿宋" w:hAnsi="仿宋" w:eastAsia="仿宋"/>
                <w:szCs w:val="21"/>
              </w:rPr>
            </w:pPr>
          </w:p>
        </w:tc>
        <w:tc>
          <w:tcPr>
            <w:tcW w:w="567" w:type="dxa"/>
            <w:vAlign w:val="center"/>
          </w:tcPr>
          <w:p w14:paraId="6F3B774C">
            <w:pPr>
              <w:rPr>
                <w:rFonts w:ascii="仿宋" w:hAnsi="仿宋" w:eastAsia="仿宋"/>
                <w:szCs w:val="21"/>
              </w:rPr>
            </w:pPr>
          </w:p>
        </w:tc>
      </w:tr>
      <w:tr w14:paraId="57AD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7" w:hRule="atLeast"/>
          <w:jc w:val="center"/>
        </w:trPr>
        <w:tc>
          <w:tcPr>
            <w:tcW w:w="707" w:type="dxa"/>
            <w:vAlign w:val="center"/>
          </w:tcPr>
          <w:p w14:paraId="1653EE2D">
            <w:pPr>
              <w:widowControl/>
              <w:adjustRightInd w:val="0"/>
              <w:snapToGrid w:val="0"/>
              <w:jc w:val="center"/>
              <w:rPr>
                <w:rFonts w:ascii="宋体" w:hAnsi="宋体" w:eastAsia="宋体"/>
                <w:kern w:val="0"/>
                <w:szCs w:val="21"/>
              </w:rPr>
            </w:pPr>
            <w:r>
              <w:rPr>
                <w:rFonts w:hint="eastAsia" w:ascii="宋体" w:hAnsi="宋体" w:eastAsia="宋体"/>
                <w:kern w:val="0"/>
                <w:szCs w:val="21"/>
              </w:rPr>
              <w:t>8</w:t>
            </w:r>
          </w:p>
        </w:tc>
        <w:tc>
          <w:tcPr>
            <w:tcW w:w="708" w:type="dxa"/>
            <w:vAlign w:val="center"/>
          </w:tcPr>
          <w:p w14:paraId="2CE4EF3E">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K2.5卓越培养</w:t>
            </w:r>
          </w:p>
        </w:tc>
        <w:tc>
          <w:tcPr>
            <w:tcW w:w="2124" w:type="dxa"/>
            <w:vAlign w:val="center"/>
          </w:tcPr>
          <w:p w14:paraId="65BAEE85">
            <w:pPr>
              <w:rPr>
                <w:rFonts w:ascii="宋体" w:hAnsi="宋体" w:eastAsia="宋体" w:cs="仿宋"/>
                <w:szCs w:val="21"/>
              </w:rPr>
            </w:pPr>
            <w:r>
              <w:rPr>
                <w:rFonts w:hint="eastAsia" w:ascii="宋体" w:hAnsi="宋体" w:eastAsia="宋体" w:cs="仿宋"/>
                <w:szCs w:val="21"/>
              </w:rPr>
              <w:t>管理人员及教师对本科教育教学研究改革力度不够，学科专业基础创新不足以反哺教学，缺乏标志性、国家级教学成果。</w:t>
            </w:r>
          </w:p>
        </w:tc>
        <w:tc>
          <w:tcPr>
            <w:tcW w:w="2693" w:type="dxa"/>
            <w:vAlign w:val="center"/>
          </w:tcPr>
          <w:p w14:paraId="4F5D4BB8">
            <w:pPr>
              <w:rPr>
                <w:rFonts w:ascii="宋体" w:hAnsi="宋体" w:eastAsia="宋体"/>
                <w:szCs w:val="21"/>
              </w:rPr>
            </w:pPr>
            <w:r>
              <w:rPr>
                <w:rFonts w:hint="eastAsia" w:ascii="宋体" w:hAnsi="宋体" w:eastAsia="宋体" w:cs="仿宋"/>
                <w:szCs w:val="21"/>
              </w:rPr>
              <w:t>学校要加强专业规划的顶层设计，推进课程建设、师资队伍建设、教材建设和实践教学建设；发挥学校创新创业教育优势，进一步提升学生创新创业教育受益度和科技应用能力，进一步凝练学校特色，形成以学生学业成功为根本的、具有可复制可推广的教学成果。</w:t>
            </w:r>
          </w:p>
        </w:tc>
        <w:tc>
          <w:tcPr>
            <w:tcW w:w="1701" w:type="dxa"/>
          </w:tcPr>
          <w:p w14:paraId="492E9ECB">
            <w:pPr>
              <w:rPr>
                <w:rFonts w:ascii="仿宋" w:hAnsi="仿宋" w:eastAsia="仿宋"/>
                <w:szCs w:val="21"/>
              </w:rPr>
            </w:pPr>
          </w:p>
        </w:tc>
        <w:tc>
          <w:tcPr>
            <w:tcW w:w="1560" w:type="dxa"/>
            <w:vAlign w:val="center"/>
          </w:tcPr>
          <w:p w14:paraId="1C8EC07E">
            <w:pPr>
              <w:rPr>
                <w:rFonts w:ascii="仿宋" w:hAnsi="仿宋" w:eastAsia="仿宋"/>
                <w:szCs w:val="21"/>
              </w:rPr>
            </w:pPr>
          </w:p>
        </w:tc>
        <w:tc>
          <w:tcPr>
            <w:tcW w:w="1701" w:type="dxa"/>
            <w:vAlign w:val="center"/>
          </w:tcPr>
          <w:p w14:paraId="2B7B6715">
            <w:pPr>
              <w:rPr>
                <w:rFonts w:ascii="仿宋" w:hAnsi="仿宋" w:eastAsia="仿宋"/>
                <w:szCs w:val="21"/>
              </w:rPr>
            </w:pPr>
          </w:p>
        </w:tc>
        <w:tc>
          <w:tcPr>
            <w:tcW w:w="1275" w:type="dxa"/>
            <w:vAlign w:val="center"/>
          </w:tcPr>
          <w:p w14:paraId="382E6B25">
            <w:pPr>
              <w:rPr>
                <w:rFonts w:ascii="仿宋" w:hAnsi="仿宋" w:eastAsia="仿宋"/>
                <w:szCs w:val="21"/>
              </w:rPr>
            </w:pPr>
          </w:p>
        </w:tc>
        <w:tc>
          <w:tcPr>
            <w:tcW w:w="993" w:type="dxa"/>
            <w:tcBorders>
              <w:top w:val="nil"/>
              <w:left w:val="single" w:color="auto" w:sz="4" w:space="0"/>
              <w:bottom w:val="single" w:color="auto" w:sz="4" w:space="0"/>
              <w:right w:val="single" w:color="auto" w:sz="4" w:space="0"/>
            </w:tcBorders>
            <w:shd w:val="clear" w:color="auto" w:fill="auto"/>
            <w:vAlign w:val="center"/>
          </w:tcPr>
          <w:p w14:paraId="67D12E19">
            <w:pPr>
              <w:rPr>
                <w:rFonts w:ascii="宋体" w:hAnsi="宋体" w:eastAsia="宋体"/>
                <w:szCs w:val="21"/>
              </w:rPr>
            </w:pPr>
            <w:r>
              <w:rPr>
                <w:rFonts w:hint="eastAsia" w:ascii="宋体" w:hAnsi="宋体" w:eastAsia="宋体"/>
                <w:szCs w:val="21"/>
              </w:rPr>
              <w:t>教务处</w:t>
            </w:r>
          </w:p>
        </w:tc>
        <w:tc>
          <w:tcPr>
            <w:tcW w:w="1559" w:type="dxa"/>
            <w:tcBorders>
              <w:top w:val="nil"/>
              <w:left w:val="nil"/>
              <w:bottom w:val="single" w:color="auto" w:sz="4" w:space="0"/>
              <w:right w:val="single" w:color="auto" w:sz="4" w:space="0"/>
            </w:tcBorders>
            <w:shd w:val="clear" w:color="auto" w:fill="auto"/>
            <w:vAlign w:val="center"/>
          </w:tcPr>
          <w:p w14:paraId="5EE2761B">
            <w:pPr>
              <w:rPr>
                <w:rFonts w:ascii="宋体" w:hAnsi="宋体" w:eastAsia="宋体"/>
                <w:szCs w:val="21"/>
              </w:rPr>
            </w:pPr>
            <w:r>
              <w:rPr>
                <w:rFonts w:hint="eastAsia" w:ascii="宋体" w:hAnsi="宋体" w:eastAsia="宋体"/>
                <w:szCs w:val="21"/>
              </w:rPr>
              <w:t>教育评价与教师发展中心、各二级学院</w:t>
            </w:r>
          </w:p>
        </w:tc>
        <w:tc>
          <w:tcPr>
            <w:tcW w:w="567" w:type="dxa"/>
            <w:vAlign w:val="center"/>
          </w:tcPr>
          <w:p w14:paraId="30D9E1C5">
            <w:pPr>
              <w:rPr>
                <w:rFonts w:ascii="仿宋" w:hAnsi="仿宋" w:eastAsia="仿宋"/>
                <w:szCs w:val="21"/>
              </w:rPr>
            </w:pPr>
          </w:p>
        </w:tc>
        <w:tc>
          <w:tcPr>
            <w:tcW w:w="567" w:type="dxa"/>
            <w:vAlign w:val="center"/>
          </w:tcPr>
          <w:p w14:paraId="31B714FD">
            <w:pPr>
              <w:rPr>
                <w:rFonts w:ascii="仿宋" w:hAnsi="仿宋" w:eastAsia="仿宋"/>
                <w:szCs w:val="21"/>
              </w:rPr>
            </w:pPr>
          </w:p>
        </w:tc>
      </w:tr>
      <w:tr w14:paraId="0364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7" w:hRule="atLeast"/>
          <w:jc w:val="center"/>
        </w:trPr>
        <w:tc>
          <w:tcPr>
            <w:tcW w:w="707" w:type="dxa"/>
            <w:vAlign w:val="center"/>
          </w:tcPr>
          <w:p w14:paraId="22EFAF5B">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9</w:t>
            </w:r>
          </w:p>
        </w:tc>
        <w:tc>
          <w:tcPr>
            <w:tcW w:w="708" w:type="dxa"/>
            <w:vAlign w:val="center"/>
          </w:tcPr>
          <w:p w14:paraId="6027058E">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3.2资源建设</w:t>
            </w:r>
          </w:p>
        </w:tc>
        <w:tc>
          <w:tcPr>
            <w:tcW w:w="2124" w:type="dxa"/>
            <w:vAlign w:val="center"/>
          </w:tcPr>
          <w:p w14:paraId="540D0E13">
            <w:pPr>
              <w:rPr>
                <w:rFonts w:ascii="宋体" w:hAnsi="宋体" w:eastAsia="宋体" w:cs="仿宋"/>
                <w:bCs/>
                <w:kern w:val="0"/>
                <w:szCs w:val="21"/>
              </w:rPr>
            </w:pPr>
            <w:r>
              <w:rPr>
                <w:rFonts w:hint="eastAsia" w:ascii="宋体" w:hAnsi="宋体" w:eastAsia="宋体" w:cs="仿宋"/>
                <w:bCs/>
                <w:kern w:val="0"/>
                <w:szCs w:val="21"/>
              </w:rPr>
              <w:t>现代化教学设施还不充分、教学信息化程度不高，表现为智慧教室数量还不能充分满足教学需求，小班化教学需要进一步加强。</w:t>
            </w:r>
            <w:r>
              <w:rPr>
                <w:rFonts w:hint="eastAsia" w:ascii="宋体" w:hAnsi="宋体" w:eastAsia="宋体" w:cs="仿宋"/>
                <w:bCs/>
                <w:szCs w:val="21"/>
              </w:rPr>
              <w:t>教师作为主编或副主编的高水平教材数量不多，非医学专业教材建设比较弱，参编人数不多。</w:t>
            </w:r>
            <w:bookmarkStart w:id="5" w:name="_Hlk161562798"/>
            <w:r>
              <w:rPr>
                <w:rFonts w:hint="eastAsia" w:ascii="宋体" w:hAnsi="宋体" w:eastAsia="宋体" w:cs="仿宋"/>
                <w:bCs/>
                <w:szCs w:val="21"/>
              </w:rPr>
              <w:t>高水平的科研成果利用不足，未能充分有效地将科研成果转化为教学资源，仍需进一步提升科研促进教学的作用。</w:t>
            </w:r>
            <w:bookmarkEnd w:id="5"/>
          </w:p>
        </w:tc>
        <w:tc>
          <w:tcPr>
            <w:tcW w:w="2693" w:type="dxa"/>
            <w:vAlign w:val="center"/>
          </w:tcPr>
          <w:p w14:paraId="13E1C18D">
            <w:pPr>
              <w:rPr>
                <w:rFonts w:ascii="宋体" w:hAnsi="宋体" w:eastAsia="宋体"/>
                <w:szCs w:val="21"/>
              </w:rPr>
            </w:pPr>
            <w:r>
              <w:rPr>
                <w:rFonts w:hint="eastAsia" w:ascii="宋体" w:hAnsi="宋体" w:eastAsia="宋体" w:cs="仿宋"/>
                <w:bCs/>
                <w:szCs w:val="21"/>
              </w:rPr>
              <w:t>加大现代化基础教学设施建设的力度，逐步增加智慧教室的数量，提高教学设施的信息化程度和功能；筹划建设一批小组讨论式学习的小教室。</w:t>
            </w:r>
            <w:r>
              <w:rPr>
                <w:rFonts w:hint="eastAsia" w:ascii="宋体" w:hAnsi="宋体" w:eastAsia="宋体" w:cs="仿宋"/>
                <w:bCs/>
                <w:kern w:val="0"/>
                <w:szCs w:val="21"/>
              </w:rPr>
              <w:t>加大对教材建设的支持力度，制定鼓励教师主编、副主编或参编高水平国家规划教材的激励政策，尤其是非医学专业教材。完善教材管理机制，推动传统教材数字化建设，提升教材建设整体质量。制订与完善科研成果转化为教学资源的奖惩制度、规范程序和考核评价指标体系，提升教师将科研成果转化为教学资源的积极性，加大科研成果反哺教学的力度。</w:t>
            </w:r>
          </w:p>
        </w:tc>
        <w:tc>
          <w:tcPr>
            <w:tcW w:w="1701" w:type="dxa"/>
          </w:tcPr>
          <w:p w14:paraId="56CAFF1C">
            <w:pPr>
              <w:rPr>
                <w:rFonts w:ascii="仿宋" w:hAnsi="仿宋" w:eastAsia="仿宋" w:cs="仿宋"/>
                <w:bCs/>
                <w:kern w:val="0"/>
                <w:szCs w:val="21"/>
              </w:rPr>
            </w:pPr>
          </w:p>
        </w:tc>
        <w:tc>
          <w:tcPr>
            <w:tcW w:w="1560" w:type="dxa"/>
            <w:vAlign w:val="center"/>
          </w:tcPr>
          <w:p w14:paraId="44A9BA8D">
            <w:pPr>
              <w:rPr>
                <w:rFonts w:ascii="仿宋" w:hAnsi="仿宋" w:eastAsia="仿宋" w:cs="仿宋"/>
                <w:bCs/>
                <w:kern w:val="0"/>
                <w:szCs w:val="21"/>
              </w:rPr>
            </w:pPr>
          </w:p>
        </w:tc>
        <w:tc>
          <w:tcPr>
            <w:tcW w:w="1701" w:type="dxa"/>
            <w:vAlign w:val="center"/>
          </w:tcPr>
          <w:p w14:paraId="3E6683D9">
            <w:pPr>
              <w:rPr>
                <w:rFonts w:ascii="仿宋" w:hAnsi="仿宋" w:eastAsia="仿宋" w:cs="仿宋"/>
                <w:bCs/>
                <w:kern w:val="0"/>
                <w:szCs w:val="21"/>
              </w:rPr>
            </w:pPr>
          </w:p>
        </w:tc>
        <w:tc>
          <w:tcPr>
            <w:tcW w:w="1275" w:type="dxa"/>
            <w:vAlign w:val="center"/>
          </w:tcPr>
          <w:p w14:paraId="7DDCE063">
            <w:pPr>
              <w:rPr>
                <w:rFonts w:ascii="仿宋" w:hAnsi="仿宋" w:eastAsia="仿宋" w:cs="仿宋"/>
                <w:bCs/>
                <w:kern w:val="0"/>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D993DE3">
            <w:pPr>
              <w:rPr>
                <w:rFonts w:ascii="宋体" w:hAnsi="宋体" w:eastAsia="宋体" w:cs="仿宋"/>
                <w:bCs/>
                <w:kern w:val="0"/>
                <w:szCs w:val="21"/>
              </w:rPr>
            </w:pPr>
            <w:r>
              <w:rPr>
                <w:rFonts w:hint="eastAsia" w:ascii="宋体" w:hAnsi="宋体" w:eastAsia="宋体"/>
                <w:szCs w:val="21"/>
              </w:rPr>
              <w:t>教务处</w:t>
            </w:r>
          </w:p>
        </w:tc>
        <w:tc>
          <w:tcPr>
            <w:tcW w:w="1559" w:type="dxa"/>
            <w:tcBorders>
              <w:top w:val="single" w:color="auto" w:sz="4" w:space="0"/>
              <w:left w:val="nil"/>
              <w:bottom w:val="single" w:color="auto" w:sz="4" w:space="0"/>
              <w:right w:val="single" w:color="auto" w:sz="4" w:space="0"/>
            </w:tcBorders>
            <w:shd w:val="clear" w:color="auto" w:fill="auto"/>
            <w:vAlign w:val="center"/>
          </w:tcPr>
          <w:p w14:paraId="1AE7F420">
            <w:pPr>
              <w:rPr>
                <w:rFonts w:ascii="宋体" w:hAnsi="宋体" w:eastAsia="宋体" w:cs="仿宋"/>
                <w:bCs/>
                <w:kern w:val="0"/>
                <w:szCs w:val="21"/>
              </w:rPr>
            </w:pPr>
            <w:r>
              <w:rPr>
                <w:rFonts w:hint="eastAsia" w:ascii="宋体" w:hAnsi="宋体" w:eastAsia="宋体"/>
                <w:szCs w:val="21"/>
              </w:rPr>
              <w:t>财务处、科技处、国资处、后勤基建处、信息中心、各二级学院</w:t>
            </w:r>
          </w:p>
        </w:tc>
        <w:tc>
          <w:tcPr>
            <w:tcW w:w="567" w:type="dxa"/>
            <w:vAlign w:val="center"/>
          </w:tcPr>
          <w:p w14:paraId="4F8D2E1D">
            <w:pPr>
              <w:rPr>
                <w:rFonts w:ascii="仿宋" w:hAnsi="仿宋" w:eastAsia="仿宋" w:cs="仿宋"/>
                <w:bCs/>
                <w:kern w:val="0"/>
                <w:szCs w:val="21"/>
              </w:rPr>
            </w:pPr>
          </w:p>
        </w:tc>
        <w:tc>
          <w:tcPr>
            <w:tcW w:w="567" w:type="dxa"/>
            <w:vAlign w:val="center"/>
          </w:tcPr>
          <w:p w14:paraId="762EFB1A">
            <w:pPr>
              <w:rPr>
                <w:rFonts w:ascii="仿宋" w:hAnsi="仿宋" w:eastAsia="仿宋" w:cs="仿宋"/>
                <w:bCs/>
                <w:kern w:val="0"/>
                <w:szCs w:val="21"/>
              </w:rPr>
            </w:pPr>
          </w:p>
        </w:tc>
      </w:tr>
      <w:tr w14:paraId="2998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7" w:hRule="atLeast"/>
          <w:jc w:val="center"/>
        </w:trPr>
        <w:tc>
          <w:tcPr>
            <w:tcW w:w="707" w:type="dxa"/>
            <w:vAlign w:val="center"/>
          </w:tcPr>
          <w:p w14:paraId="329B48EA">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0</w:t>
            </w:r>
          </w:p>
        </w:tc>
        <w:tc>
          <w:tcPr>
            <w:tcW w:w="708" w:type="dxa"/>
            <w:vAlign w:val="center"/>
          </w:tcPr>
          <w:p w14:paraId="0A49182C">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4.2教学能力</w:t>
            </w:r>
          </w:p>
        </w:tc>
        <w:tc>
          <w:tcPr>
            <w:tcW w:w="2124" w:type="dxa"/>
            <w:vAlign w:val="center"/>
          </w:tcPr>
          <w:p w14:paraId="3130F753">
            <w:pPr>
              <w:rPr>
                <w:rFonts w:ascii="宋体" w:hAnsi="宋体" w:eastAsia="宋体" w:cs="仿宋"/>
                <w:bCs/>
                <w:kern w:val="0"/>
                <w:szCs w:val="21"/>
              </w:rPr>
            </w:pPr>
            <w:r>
              <w:rPr>
                <w:rFonts w:hint="eastAsia" w:ascii="宋体" w:hAnsi="宋体" w:eastAsia="宋体" w:cs="仿宋"/>
                <w:bCs/>
                <w:kern w:val="0"/>
                <w:szCs w:val="21"/>
              </w:rPr>
              <w:t>教师队伍建设与发展不均衡，例如学校师资队伍总量不能满足多校区建设发展需要，部分新办专业如医疗保险、健康服务与管理等师资队伍偏弱，教师结构和分布相对不平衡；再例如学校领军型人才匮乏，教师队伍中博士学位教师占比仅53%左右，部分学科存在高层次人才断层现象，学校博士学位教师占比与建设国内同类一流大学目标有一定差距。</w:t>
            </w:r>
          </w:p>
        </w:tc>
        <w:tc>
          <w:tcPr>
            <w:tcW w:w="2693" w:type="dxa"/>
            <w:vAlign w:val="center"/>
          </w:tcPr>
          <w:p w14:paraId="3E8CEC7D">
            <w:pPr>
              <w:rPr>
                <w:rFonts w:ascii="宋体" w:hAnsi="宋体" w:eastAsia="宋体"/>
                <w:szCs w:val="21"/>
              </w:rPr>
            </w:pPr>
            <w:r>
              <w:rPr>
                <w:rFonts w:hint="eastAsia" w:ascii="宋体" w:hAnsi="宋体" w:eastAsia="宋体" w:cs="仿宋"/>
                <w:bCs/>
                <w:kern w:val="0"/>
                <w:szCs w:val="21"/>
              </w:rPr>
              <w:t>加大人才引进的力度，同时对校内人才提供支持，通过引育并举改变教师结构，提高教师队伍质量和数量。积极推进、落实学校已经制定的人才引育计划，通过条件吸引人才、感情留住人才、发展依靠人才等措施引育高层次人才，尤其是领军人才，超前布局，做好人才储备。同时创造条件，鼓励校内教师提升学历、提高科学研究的水平。</w:t>
            </w:r>
          </w:p>
        </w:tc>
        <w:tc>
          <w:tcPr>
            <w:tcW w:w="1701" w:type="dxa"/>
          </w:tcPr>
          <w:p w14:paraId="3F59603C">
            <w:pPr>
              <w:rPr>
                <w:rFonts w:ascii="仿宋" w:hAnsi="仿宋" w:eastAsia="仿宋" w:cs="仿宋"/>
                <w:bCs/>
                <w:kern w:val="0"/>
                <w:szCs w:val="21"/>
              </w:rPr>
            </w:pPr>
          </w:p>
        </w:tc>
        <w:tc>
          <w:tcPr>
            <w:tcW w:w="1560" w:type="dxa"/>
            <w:vAlign w:val="center"/>
          </w:tcPr>
          <w:p w14:paraId="62CDBC0E">
            <w:pPr>
              <w:rPr>
                <w:rFonts w:ascii="仿宋" w:hAnsi="仿宋" w:eastAsia="仿宋" w:cs="仿宋"/>
                <w:bCs/>
                <w:kern w:val="0"/>
                <w:szCs w:val="21"/>
              </w:rPr>
            </w:pPr>
          </w:p>
        </w:tc>
        <w:tc>
          <w:tcPr>
            <w:tcW w:w="1701" w:type="dxa"/>
            <w:vAlign w:val="center"/>
          </w:tcPr>
          <w:p w14:paraId="09B45243">
            <w:pPr>
              <w:rPr>
                <w:rFonts w:ascii="仿宋" w:hAnsi="仿宋" w:eastAsia="仿宋" w:cs="仿宋"/>
                <w:bCs/>
                <w:kern w:val="0"/>
                <w:szCs w:val="21"/>
              </w:rPr>
            </w:pPr>
          </w:p>
        </w:tc>
        <w:tc>
          <w:tcPr>
            <w:tcW w:w="1275" w:type="dxa"/>
            <w:vAlign w:val="center"/>
          </w:tcPr>
          <w:p w14:paraId="65C47A67">
            <w:pPr>
              <w:rPr>
                <w:rFonts w:ascii="仿宋" w:hAnsi="仿宋" w:eastAsia="仿宋" w:cs="仿宋"/>
                <w:bCs/>
                <w:kern w:val="0"/>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D98A5BF">
            <w:pPr>
              <w:rPr>
                <w:rFonts w:ascii="宋体" w:hAnsi="宋体" w:eastAsia="宋体" w:cs="仿宋"/>
                <w:bCs/>
                <w:kern w:val="0"/>
                <w:szCs w:val="21"/>
              </w:rPr>
            </w:pPr>
            <w:r>
              <w:rPr>
                <w:rFonts w:hint="eastAsia" w:ascii="宋体" w:hAnsi="宋体" w:eastAsia="宋体"/>
                <w:szCs w:val="21"/>
              </w:rPr>
              <w:t>人事处</w:t>
            </w:r>
          </w:p>
        </w:tc>
        <w:tc>
          <w:tcPr>
            <w:tcW w:w="1559" w:type="dxa"/>
            <w:tcBorders>
              <w:top w:val="single" w:color="auto" w:sz="4" w:space="0"/>
              <w:left w:val="nil"/>
              <w:bottom w:val="single" w:color="auto" w:sz="4" w:space="0"/>
              <w:right w:val="single" w:color="auto" w:sz="4" w:space="0"/>
            </w:tcBorders>
            <w:shd w:val="clear" w:color="auto" w:fill="auto"/>
            <w:vAlign w:val="center"/>
          </w:tcPr>
          <w:p w14:paraId="241B728B">
            <w:pPr>
              <w:rPr>
                <w:rFonts w:ascii="宋体" w:hAnsi="宋体" w:eastAsia="宋体" w:cs="仿宋"/>
                <w:bCs/>
                <w:kern w:val="0"/>
                <w:szCs w:val="21"/>
              </w:rPr>
            </w:pPr>
            <w:r>
              <w:rPr>
                <w:rFonts w:hint="eastAsia" w:ascii="宋体" w:hAnsi="宋体" w:eastAsia="宋体"/>
                <w:szCs w:val="21"/>
              </w:rPr>
              <w:t>组织部、各二级学院</w:t>
            </w:r>
          </w:p>
        </w:tc>
        <w:tc>
          <w:tcPr>
            <w:tcW w:w="567" w:type="dxa"/>
            <w:vAlign w:val="center"/>
          </w:tcPr>
          <w:p w14:paraId="4C061663">
            <w:pPr>
              <w:rPr>
                <w:rFonts w:ascii="仿宋" w:hAnsi="仿宋" w:eastAsia="仿宋" w:cs="仿宋"/>
                <w:bCs/>
                <w:kern w:val="0"/>
                <w:szCs w:val="21"/>
              </w:rPr>
            </w:pPr>
          </w:p>
        </w:tc>
        <w:tc>
          <w:tcPr>
            <w:tcW w:w="567" w:type="dxa"/>
            <w:vAlign w:val="center"/>
          </w:tcPr>
          <w:p w14:paraId="2095B047">
            <w:pPr>
              <w:rPr>
                <w:rFonts w:ascii="仿宋" w:hAnsi="仿宋" w:eastAsia="仿宋" w:cs="仿宋"/>
                <w:bCs/>
                <w:kern w:val="0"/>
                <w:szCs w:val="21"/>
              </w:rPr>
            </w:pPr>
          </w:p>
        </w:tc>
      </w:tr>
      <w:tr w14:paraId="489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jc w:val="center"/>
        </w:trPr>
        <w:tc>
          <w:tcPr>
            <w:tcW w:w="707" w:type="dxa"/>
            <w:vAlign w:val="center"/>
          </w:tcPr>
          <w:p w14:paraId="5670C002">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1</w:t>
            </w:r>
          </w:p>
        </w:tc>
        <w:tc>
          <w:tcPr>
            <w:tcW w:w="708" w:type="dxa"/>
            <w:vAlign w:val="center"/>
          </w:tcPr>
          <w:p w14:paraId="3E82E751">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4.4教师发展</w:t>
            </w:r>
          </w:p>
        </w:tc>
        <w:tc>
          <w:tcPr>
            <w:tcW w:w="2124" w:type="dxa"/>
            <w:vAlign w:val="center"/>
          </w:tcPr>
          <w:p w14:paraId="3EF0D90E">
            <w:pPr>
              <w:rPr>
                <w:rFonts w:ascii="宋体" w:hAnsi="宋体" w:eastAsia="宋体" w:cs="仿宋"/>
                <w:bCs/>
                <w:kern w:val="0"/>
                <w:szCs w:val="21"/>
              </w:rPr>
            </w:pPr>
            <w:r>
              <w:rPr>
                <w:rFonts w:hint="eastAsia" w:ascii="宋体" w:hAnsi="宋体" w:eastAsia="宋体" w:cs="仿宋"/>
                <w:bCs/>
                <w:kern w:val="0"/>
                <w:szCs w:val="21"/>
              </w:rPr>
              <w:t>教师个性化发展有待加强。</w:t>
            </w:r>
          </w:p>
        </w:tc>
        <w:tc>
          <w:tcPr>
            <w:tcW w:w="2693" w:type="dxa"/>
            <w:vAlign w:val="center"/>
          </w:tcPr>
          <w:p w14:paraId="38C3C4A1">
            <w:pPr>
              <w:rPr>
                <w:rFonts w:ascii="宋体" w:hAnsi="宋体" w:eastAsia="宋体"/>
                <w:szCs w:val="21"/>
              </w:rPr>
            </w:pPr>
            <w:r>
              <w:rPr>
                <w:rFonts w:hint="eastAsia" w:ascii="宋体" w:hAnsi="宋体" w:eastAsia="宋体" w:cs="仿宋"/>
                <w:bCs/>
                <w:kern w:val="0"/>
                <w:szCs w:val="21"/>
              </w:rPr>
              <w:t>开展针对性较强的教师调研，加快个性化培养制度的探索，鼓励教师开展科学研究（科研型教师）和教学研究（教学型教师），树立先进榜样和典型。</w:t>
            </w:r>
          </w:p>
        </w:tc>
        <w:tc>
          <w:tcPr>
            <w:tcW w:w="1701" w:type="dxa"/>
          </w:tcPr>
          <w:p w14:paraId="495B2676">
            <w:pPr>
              <w:rPr>
                <w:rFonts w:ascii="仿宋" w:hAnsi="仿宋" w:eastAsia="仿宋"/>
                <w:kern w:val="0"/>
                <w:szCs w:val="21"/>
              </w:rPr>
            </w:pPr>
          </w:p>
        </w:tc>
        <w:tc>
          <w:tcPr>
            <w:tcW w:w="1560" w:type="dxa"/>
            <w:vAlign w:val="center"/>
          </w:tcPr>
          <w:p w14:paraId="48DF4BC4">
            <w:pPr>
              <w:rPr>
                <w:rFonts w:ascii="仿宋" w:hAnsi="仿宋" w:eastAsia="仿宋"/>
                <w:kern w:val="0"/>
                <w:szCs w:val="21"/>
              </w:rPr>
            </w:pPr>
          </w:p>
        </w:tc>
        <w:tc>
          <w:tcPr>
            <w:tcW w:w="1701" w:type="dxa"/>
            <w:vAlign w:val="center"/>
          </w:tcPr>
          <w:p w14:paraId="396A824F">
            <w:pPr>
              <w:rPr>
                <w:rFonts w:ascii="仿宋" w:hAnsi="仿宋" w:eastAsia="仿宋"/>
                <w:kern w:val="0"/>
                <w:szCs w:val="21"/>
              </w:rPr>
            </w:pPr>
          </w:p>
        </w:tc>
        <w:tc>
          <w:tcPr>
            <w:tcW w:w="1275" w:type="dxa"/>
            <w:vAlign w:val="center"/>
          </w:tcPr>
          <w:p w14:paraId="4615DDF3">
            <w:pPr>
              <w:rPr>
                <w:rFonts w:ascii="仿宋" w:hAnsi="仿宋" w:eastAsia="仿宋"/>
                <w:kern w:val="0"/>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FF09788">
            <w:pPr>
              <w:rPr>
                <w:rFonts w:ascii="宋体" w:hAnsi="宋体" w:eastAsia="宋体"/>
                <w:kern w:val="0"/>
                <w:szCs w:val="21"/>
              </w:rPr>
            </w:pPr>
            <w:r>
              <w:rPr>
                <w:rFonts w:hint="eastAsia" w:ascii="宋体" w:hAnsi="宋体" w:eastAsia="宋体"/>
                <w:szCs w:val="21"/>
              </w:rPr>
              <w:t>教育评价与教师发展中心</w:t>
            </w:r>
          </w:p>
        </w:tc>
        <w:tc>
          <w:tcPr>
            <w:tcW w:w="1559" w:type="dxa"/>
            <w:tcBorders>
              <w:top w:val="single" w:color="auto" w:sz="4" w:space="0"/>
              <w:left w:val="nil"/>
              <w:bottom w:val="single" w:color="auto" w:sz="4" w:space="0"/>
              <w:right w:val="single" w:color="auto" w:sz="4" w:space="0"/>
            </w:tcBorders>
            <w:shd w:val="clear" w:color="auto" w:fill="auto"/>
            <w:vAlign w:val="center"/>
          </w:tcPr>
          <w:p w14:paraId="5BF21798">
            <w:pPr>
              <w:rPr>
                <w:rFonts w:ascii="宋体" w:hAnsi="宋体" w:eastAsia="宋体"/>
                <w:kern w:val="0"/>
                <w:szCs w:val="21"/>
              </w:rPr>
            </w:pPr>
            <w:r>
              <w:rPr>
                <w:rFonts w:hint="eastAsia" w:ascii="宋体" w:hAnsi="宋体" w:eastAsia="宋体"/>
                <w:szCs w:val="21"/>
              </w:rPr>
              <w:t>人事处、科技处、各二级学院</w:t>
            </w:r>
          </w:p>
        </w:tc>
        <w:tc>
          <w:tcPr>
            <w:tcW w:w="567" w:type="dxa"/>
            <w:vAlign w:val="center"/>
          </w:tcPr>
          <w:p w14:paraId="717FFE3A">
            <w:pPr>
              <w:rPr>
                <w:rFonts w:ascii="仿宋" w:hAnsi="仿宋" w:eastAsia="仿宋"/>
                <w:kern w:val="0"/>
                <w:szCs w:val="21"/>
              </w:rPr>
            </w:pPr>
          </w:p>
        </w:tc>
        <w:tc>
          <w:tcPr>
            <w:tcW w:w="567" w:type="dxa"/>
            <w:vAlign w:val="center"/>
          </w:tcPr>
          <w:p w14:paraId="5648F95F">
            <w:pPr>
              <w:rPr>
                <w:rFonts w:ascii="仿宋" w:hAnsi="仿宋" w:eastAsia="仿宋"/>
                <w:kern w:val="0"/>
                <w:szCs w:val="21"/>
              </w:rPr>
            </w:pPr>
          </w:p>
        </w:tc>
      </w:tr>
      <w:tr w14:paraId="5CA1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7" w:type="dxa"/>
            <w:vAlign w:val="center"/>
          </w:tcPr>
          <w:p w14:paraId="5E9DD5A4">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2</w:t>
            </w:r>
          </w:p>
        </w:tc>
        <w:tc>
          <w:tcPr>
            <w:tcW w:w="708" w:type="dxa"/>
            <w:vAlign w:val="center"/>
          </w:tcPr>
          <w:p w14:paraId="6819EF89">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5.2学业成绩及综合素质</w:t>
            </w:r>
          </w:p>
        </w:tc>
        <w:tc>
          <w:tcPr>
            <w:tcW w:w="2124" w:type="dxa"/>
            <w:vAlign w:val="center"/>
          </w:tcPr>
          <w:p w14:paraId="46073761">
            <w:pPr>
              <w:rPr>
                <w:rFonts w:ascii="宋体" w:hAnsi="宋体" w:eastAsia="宋体" w:cs="仿宋"/>
                <w:bCs/>
                <w:kern w:val="0"/>
                <w:szCs w:val="21"/>
              </w:rPr>
            </w:pPr>
            <w:r>
              <w:rPr>
                <w:rFonts w:hint="eastAsia" w:ascii="宋体" w:hAnsi="宋体" w:eastAsia="宋体" w:cs="仿宋"/>
                <w:bCs/>
                <w:kern w:val="0"/>
                <w:szCs w:val="21"/>
              </w:rPr>
              <w:t>高水平体育、美育、劳动教育课程资源建设与经费投入有待加强，实践基地也有待进一步扩充；校本部体育场地设施陈旧，没有专门的美育工作机构，专职美育、劳动教育的教师较少，教学成效及评价方式有待改善，需进一步加大投入。</w:t>
            </w:r>
          </w:p>
          <w:p w14:paraId="1DE47190">
            <w:pPr>
              <w:rPr>
                <w:rFonts w:ascii="宋体" w:hAnsi="宋体" w:eastAsia="宋体" w:cs="仿宋"/>
                <w:bCs/>
                <w:kern w:val="0"/>
                <w:szCs w:val="21"/>
              </w:rPr>
            </w:pPr>
          </w:p>
        </w:tc>
        <w:tc>
          <w:tcPr>
            <w:tcW w:w="2693" w:type="dxa"/>
            <w:vAlign w:val="center"/>
          </w:tcPr>
          <w:p w14:paraId="5FE55550">
            <w:pPr>
              <w:rPr>
                <w:rFonts w:ascii="宋体" w:hAnsi="宋体" w:eastAsia="宋体"/>
                <w:szCs w:val="21"/>
              </w:rPr>
            </w:pPr>
            <w:r>
              <w:rPr>
                <w:rFonts w:hint="eastAsia" w:ascii="宋体" w:hAnsi="宋体" w:eastAsia="宋体"/>
                <w:szCs w:val="21"/>
              </w:rPr>
              <w:t>加大体育、美育、劳动教育资源建设经费投入力度。最大限度对学生开放使用时间，增设美育工作专门机构，不断完善美育和劳动教育课程内容和评价方式，注重美育实践能力培养，形成一校一品和一校多品的体育、美育、劳动教育特色。</w:t>
            </w:r>
          </w:p>
        </w:tc>
        <w:tc>
          <w:tcPr>
            <w:tcW w:w="1701" w:type="dxa"/>
          </w:tcPr>
          <w:p w14:paraId="7C06BA25">
            <w:pPr>
              <w:rPr>
                <w:rFonts w:ascii="仿宋" w:hAnsi="仿宋" w:eastAsia="仿宋" w:cs="仿宋"/>
                <w:bCs/>
                <w:kern w:val="0"/>
                <w:szCs w:val="21"/>
              </w:rPr>
            </w:pPr>
          </w:p>
        </w:tc>
        <w:tc>
          <w:tcPr>
            <w:tcW w:w="1560" w:type="dxa"/>
            <w:vAlign w:val="center"/>
          </w:tcPr>
          <w:p w14:paraId="292026B6">
            <w:pPr>
              <w:rPr>
                <w:rFonts w:ascii="仿宋" w:hAnsi="仿宋" w:eastAsia="仿宋" w:cs="仿宋"/>
                <w:bCs/>
                <w:kern w:val="0"/>
                <w:szCs w:val="21"/>
              </w:rPr>
            </w:pPr>
          </w:p>
        </w:tc>
        <w:tc>
          <w:tcPr>
            <w:tcW w:w="1701" w:type="dxa"/>
            <w:vAlign w:val="center"/>
          </w:tcPr>
          <w:p w14:paraId="5179E4F7">
            <w:pPr>
              <w:rPr>
                <w:rFonts w:ascii="仿宋" w:hAnsi="仿宋" w:eastAsia="仿宋" w:cs="仿宋"/>
                <w:bCs/>
                <w:kern w:val="0"/>
                <w:szCs w:val="21"/>
              </w:rPr>
            </w:pPr>
          </w:p>
        </w:tc>
        <w:tc>
          <w:tcPr>
            <w:tcW w:w="1275" w:type="dxa"/>
            <w:vAlign w:val="center"/>
          </w:tcPr>
          <w:p w14:paraId="4C51B132">
            <w:pPr>
              <w:rPr>
                <w:rFonts w:ascii="仿宋" w:hAnsi="仿宋" w:eastAsia="仿宋" w:cs="仿宋"/>
                <w:bCs/>
                <w:kern w:val="0"/>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507A05B">
            <w:pPr>
              <w:rPr>
                <w:rFonts w:ascii="宋体" w:hAnsi="宋体" w:eastAsia="宋体" w:cs="仿宋"/>
                <w:bCs/>
                <w:kern w:val="0"/>
                <w:szCs w:val="21"/>
              </w:rPr>
            </w:pPr>
            <w:r>
              <w:rPr>
                <w:rFonts w:hint="eastAsia" w:ascii="宋体" w:hAnsi="宋体" w:eastAsia="宋体"/>
                <w:szCs w:val="21"/>
              </w:rPr>
              <w:t>教务处</w:t>
            </w:r>
          </w:p>
        </w:tc>
        <w:tc>
          <w:tcPr>
            <w:tcW w:w="1559" w:type="dxa"/>
            <w:tcBorders>
              <w:top w:val="single" w:color="auto" w:sz="4" w:space="0"/>
              <w:left w:val="nil"/>
              <w:bottom w:val="single" w:color="auto" w:sz="4" w:space="0"/>
              <w:right w:val="single" w:color="auto" w:sz="4" w:space="0"/>
            </w:tcBorders>
            <w:shd w:val="clear" w:color="auto" w:fill="auto"/>
            <w:vAlign w:val="center"/>
          </w:tcPr>
          <w:p w14:paraId="409FB10E">
            <w:pPr>
              <w:rPr>
                <w:rFonts w:ascii="宋体" w:hAnsi="宋体" w:eastAsia="宋体"/>
                <w:szCs w:val="21"/>
              </w:rPr>
            </w:pPr>
            <w:r>
              <w:rPr>
                <w:rFonts w:hint="eastAsia" w:ascii="宋体" w:hAnsi="宋体" w:eastAsia="宋体"/>
                <w:szCs w:val="21"/>
              </w:rPr>
              <w:t>学工部（处）、校团委、财务处、人事处、国资处、体育与健康学院、人文社会科学学院、其他相关二级学院</w:t>
            </w:r>
          </w:p>
        </w:tc>
        <w:tc>
          <w:tcPr>
            <w:tcW w:w="567" w:type="dxa"/>
            <w:vAlign w:val="center"/>
          </w:tcPr>
          <w:p w14:paraId="49583270">
            <w:pPr>
              <w:rPr>
                <w:rFonts w:ascii="仿宋" w:hAnsi="仿宋" w:eastAsia="仿宋" w:cs="仿宋"/>
                <w:bCs/>
                <w:kern w:val="0"/>
                <w:szCs w:val="21"/>
              </w:rPr>
            </w:pPr>
          </w:p>
        </w:tc>
        <w:tc>
          <w:tcPr>
            <w:tcW w:w="567" w:type="dxa"/>
            <w:vAlign w:val="center"/>
          </w:tcPr>
          <w:p w14:paraId="5793D00C">
            <w:pPr>
              <w:rPr>
                <w:rFonts w:ascii="仿宋" w:hAnsi="仿宋" w:eastAsia="仿宋" w:cs="仿宋"/>
                <w:bCs/>
                <w:kern w:val="0"/>
                <w:szCs w:val="21"/>
              </w:rPr>
            </w:pPr>
          </w:p>
        </w:tc>
      </w:tr>
      <w:tr w14:paraId="736F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7" w:hRule="atLeast"/>
          <w:jc w:val="center"/>
        </w:trPr>
        <w:tc>
          <w:tcPr>
            <w:tcW w:w="707" w:type="dxa"/>
            <w:vAlign w:val="center"/>
          </w:tcPr>
          <w:p w14:paraId="31863EBB">
            <w:pPr>
              <w:widowControl/>
              <w:adjustRightInd w:val="0"/>
              <w:snapToGrid w:val="0"/>
              <w:jc w:val="center"/>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3</w:t>
            </w:r>
          </w:p>
        </w:tc>
        <w:tc>
          <w:tcPr>
            <w:tcW w:w="708" w:type="dxa"/>
            <w:vAlign w:val="center"/>
          </w:tcPr>
          <w:p w14:paraId="06216BC5">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K5.3国际视野</w:t>
            </w:r>
          </w:p>
        </w:tc>
        <w:tc>
          <w:tcPr>
            <w:tcW w:w="2124" w:type="dxa"/>
            <w:vAlign w:val="center"/>
          </w:tcPr>
          <w:p w14:paraId="4B302441">
            <w:pPr>
              <w:rPr>
                <w:rFonts w:ascii="宋体" w:hAnsi="宋体" w:eastAsia="宋体" w:cs="仿宋"/>
                <w:bCs/>
                <w:kern w:val="0"/>
                <w:szCs w:val="21"/>
              </w:rPr>
            </w:pPr>
            <w:r>
              <w:rPr>
                <w:rFonts w:hint="eastAsia" w:ascii="宋体" w:hAnsi="宋体" w:eastAsia="宋体" w:cs="仿宋"/>
                <w:bCs/>
                <w:kern w:val="0"/>
                <w:szCs w:val="21"/>
              </w:rPr>
              <w:t>学生可参与的国际交流与合作的项目不多，部分学生对出国（境）交流的意义缺乏清晰的认知，学生的国际视野培养存在薄弱环节。</w:t>
            </w:r>
          </w:p>
        </w:tc>
        <w:tc>
          <w:tcPr>
            <w:tcW w:w="2693" w:type="dxa"/>
            <w:vAlign w:val="center"/>
          </w:tcPr>
          <w:p w14:paraId="10EBBA97">
            <w:pPr>
              <w:rPr>
                <w:rFonts w:ascii="宋体" w:hAnsi="宋体" w:eastAsia="宋体"/>
                <w:szCs w:val="21"/>
              </w:rPr>
            </w:pPr>
            <w:r>
              <w:rPr>
                <w:rFonts w:hint="eastAsia" w:ascii="宋体" w:hAnsi="宋体" w:eastAsia="宋体"/>
                <w:szCs w:val="21"/>
              </w:rPr>
              <w:t>加大对以培养学生国际视野为核心目标的经费投入，按照国家对中国—东盟命运共同体、共建“一带一路”倡议的要求，充分利用广西区位优势，持续加强与境外高校、医院或医疗研究机构、学术机构的友好合作关系，进行针对性的国际合作平台构建，国际化育人环境建设，开展多层次多维度的以学生为主体的国际交流活动，切实培养学生国际化视野和胸怀，增加学生国际交流的机会，具备国际一流的知识结构储备。</w:t>
            </w:r>
          </w:p>
        </w:tc>
        <w:tc>
          <w:tcPr>
            <w:tcW w:w="1701" w:type="dxa"/>
          </w:tcPr>
          <w:p w14:paraId="3E61F8B0">
            <w:pPr>
              <w:rPr>
                <w:rFonts w:ascii="仿宋" w:hAnsi="仿宋" w:eastAsia="仿宋" w:cs="仿宋"/>
                <w:bCs/>
                <w:kern w:val="0"/>
                <w:szCs w:val="21"/>
              </w:rPr>
            </w:pPr>
          </w:p>
        </w:tc>
        <w:tc>
          <w:tcPr>
            <w:tcW w:w="1560" w:type="dxa"/>
            <w:vAlign w:val="center"/>
          </w:tcPr>
          <w:p w14:paraId="4F8E5CDE">
            <w:pPr>
              <w:rPr>
                <w:rFonts w:ascii="仿宋" w:hAnsi="仿宋" w:eastAsia="仿宋" w:cs="仿宋"/>
                <w:bCs/>
                <w:kern w:val="0"/>
                <w:szCs w:val="21"/>
              </w:rPr>
            </w:pPr>
          </w:p>
        </w:tc>
        <w:tc>
          <w:tcPr>
            <w:tcW w:w="1701" w:type="dxa"/>
            <w:vAlign w:val="center"/>
          </w:tcPr>
          <w:p w14:paraId="238D7DD4">
            <w:pPr>
              <w:rPr>
                <w:rFonts w:ascii="仿宋" w:hAnsi="仿宋" w:eastAsia="仿宋" w:cs="仿宋"/>
                <w:bCs/>
                <w:kern w:val="0"/>
                <w:szCs w:val="21"/>
              </w:rPr>
            </w:pPr>
          </w:p>
        </w:tc>
        <w:tc>
          <w:tcPr>
            <w:tcW w:w="1275" w:type="dxa"/>
            <w:vAlign w:val="center"/>
          </w:tcPr>
          <w:p w14:paraId="0620E4F1">
            <w:pPr>
              <w:rPr>
                <w:rFonts w:ascii="仿宋" w:hAnsi="仿宋" w:eastAsia="仿宋" w:cs="仿宋"/>
                <w:bCs/>
                <w:kern w:val="0"/>
                <w:szCs w:val="21"/>
              </w:rPr>
            </w:pPr>
          </w:p>
        </w:tc>
        <w:tc>
          <w:tcPr>
            <w:tcW w:w="993" w:type="dxa"/>
            <w:tcBorders>
              <w:top w:val="nil"/>
              <w:left w:val="single" w:color="auto" w:sz="4" w:space="0"/>
              <w:bottom w:val="single" w:color="auto" w:sz="4" w:space="0"/>
              <w:right w:val="single" w:color="auto" w:sz="4" w:space="0"/>
            </w:tcBorders>
            <w:shd w:val="clear" w:color="auto" w:fill="auto"/>
            <w:vAlign w:val="center"/>
          </w:tcPr>
          <w:p w14:paraId="36FBAA7F">
            <w:pPr>
              <w:rPr>
                <w:rFonts w:ascii="宋体" w:hAnsi="宋体" w:eastAsia="宋体" w:cs="仿宋"/>
                <w:bCs/>
                <w:kern w:val="0"/>
                <w:szCs w:val="21"/>
              </w:rPr>
            </w:pPr>
            <w:r>
              <w:rPr>
                <w:rFonts w:hint="eastAsia" w:ascii="宋体" w:hAnsi="宋体" w:eastAsia="宋体"/>
                <w:szCs w:val="21"/>
              </w:rPr>
              <w:t>国际教育学院/国际交流与合作处</w:t>
            </w:r>
            <w:r>
              <w:rPr>
                <w:rFonts w:ascii="宋体" w:hAnsi="宋体" w:eastAsia="宋体" w:cs="仿宋"/>
                <w:bCs/>
                <w:kern w:val="0"/>
                <w:szCs w:val="21"/>
              </w:rPr>
              <w:t xml:space="preserve"> </w:t>
            </w:r>
          </w:p>
        </w:tc>
        <w:tc>
          <w:tcPr>
            <w:tcW w:w="1559" w:type="dxa"/>
            <w:tcBorders>
              <w:top w:val="nil"/>
              <w:left w:val="nil"/>
              <w:bottom w:val="single" w:color="auto" w:sz="4" w:space="0"/>
              <w:right w:val="single" w:color="auto" w:sz="4" w:space="0"/>
            </w:tcBorders>
            <w:shd w:val="clear" w:color="auto" w:fill="auto"/>
            <w:vAlign w:val="center"/>
          </w:tcPr>
          <w:p w14:paraId="6FC8A5C5">
            <w:pPr>
              <w:rPr>
                <w:rFonts w:ascii="宋体" w:hAnsi="宋体" w:eastAsia="宋体" w:cs="仿宋"/>
                <w:bCs/>
                <w:kern w:val="0"/>
                <w:szCs w:val="21"/>
              </w:rPr>
            </w:pPr>
            <w:r>
              <w:rPr>
                <w:rFonts w:hint="eastAsia" w:ascii="宋体" w:hAnsi="宋体" w:eastAsia="宋体"/>
                <w:szCs w:val="21"/>
              </w:rPr>
              <w:t>各二级学院</w:t>
            </w:r>
          </w:p>
        </w:tc>
        <w:tc>
          <w:tcPr>
            <w:tcW w:w="567" w:type="dxa"/>
            <w:vAlign w:val="center"/>
          </w:tcPr>
          <w:p w14:paraId="7F8C7C63">
            <w:pPr>
              <w:rPr>
                <w:rFonts w:ascii="仿宋" w:hAnsi="仿宋" w:eastAsia="仿宋" w:cs="仿宋"/>
                <w:bCs/>
                <w:kern w:val="0"/>
                <w:szCs w:val="21"/>
              </w:rPr>
            </w:pPr>
          </w:p>
        </w:tc>
        <w:tc>
          <w:tcPr>
            <w:tcW w:w="567" w:type="dxa"/>
            <w:vAlign w:val="center"/>
          </w:tcPr>
          <w:p w14:paraId="4B8CCBB0">
            <w:pPr>
              <w:rPr>
                <w:rFonts w:ascii="仿宋" w:hAnsi="仿宋" w:eastAsia="仿宋" w:cs="仿宋"/>
                <w:bCs/>
                <w:kern w:val="0"/>
                <w:szCs w:val="21"/>
              </w:rPr>
            </w:pPr>
          </w:p>
        </w:tc>
      </w:tr>
      <w:tr w14:paraId="4BE6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7" w:type="dxa"/>
            <w:vAlign w:val="center"/>
          </w:tcPr>
          <w:p w14:paraId="04FFA850">
            <w:pPr>
              <w:widowControl/>
              <w:adjustRightInd w:val="0"/>
              <w:snapToGrid w:val="0"/>
              <w:jc w:val="center"/>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4</w:t>
            </w:r>
          </w:p>
        </w:tc>
        <w:tc>
          <w:tcPr>
            <w:tcW w:w="708" w:type="dxa"/>
            <w:vAlign w:val="center"/>
          </w:tcPr>
          <w:p w14:paraId="5EE8ABA6">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5.4支持服务</w:t>
            </w:r>
          </w:p>
        </w:tc>
        <w:tc>
          <w:tcPr>
            <w:tcW w:w="2124" w:type="dxa"/>
            <w:vAlign w:val="center"/>
          </w:tcPr>
          <w:p w14:paraId="1F0DEE0D">
            <w:pPr>
              <w:rPr>
                <w:rFonts w:ascii="宋体" w:hAnsi="宋体" w:eastAsia="宋体" w:cs="仿宋"/>
                <w:bCs/>
                <w:kern w:val="0"/>
                <w:szCs w:val="21"/>
              </w:rPr>
            </w:pPr>
            <w:r>
              <w:rPr>
                <w:rFonts w:hint="eastAsia" w:ascii="宋体" w:hAnsi="宋体" w:eastAsia="宋体" w:cs="仿宋"/>
                <w:bCs/>
                <w:szCs w:val="21"/>
              </w:rPr>
              <w:t>学</w:t>
            </w:r>
            <w:r>
              <w:rPr>
                <w:rFonts w:hint="eastAsia" w:ascii="宋体" w:hAnsi="宋体" w:eastAsia="宋体" w:cs="仿宋"/>
                <w:bCs/>
                <w:kern w:val="0"/>
                <w:szCs w:val="21"/>
              </w:rPr>
              <w:t>业帮扶力度有待进一步加强。</w:t>
            </w:r>
          </w:p>
          <w:p w14:paraId="74722E07">
            <w:pPr>
              <w:rPr>
                <w:rFonts w:ascii="宋体" w:hAnsi="宋体" w:eastAsia="宋体" w:cs="仿宋"/>
                <w:bCs/>
                <w:kern w:val="0"/>
                <w:szCs w:val="21"/>
              </w:rPr>
            </w:pPr>
          </w:p>
        </w:tc>
        <w:tc>
          <w:tcPr>
            <w:tcW w:w="2693" w:type="dxa"/>
            <w:vAlign w:val="center"/>
          </w:tcPr>
          <w:p w14:paraId="5B5CC36B">
            <w:pPr>
              <w:rPr>
                <w:rFonts w:ascii="宋体" w:hAnsi="宋体" w:eastAsia="宋体"/>
                <w:szCs w:val="21"/>
              </w:rPr>
            </w:pPr>
            <w:r>
              <w:rPr>
                <w:rFonts w:hint="eastAsia" w:ascii="宋体" w:hAnsi="宋体" w:eastAsia="宋体" w:cs="仿宋"/>
                <w:bCs/>
                <w:kern w:val="0"/>
                <w:szCs w:val="21"/>
              </w:rPr>
              <w:t>持续推进“一站式”学生社区建设，探索面向全体学生的支持帮扶制度体系。从激励机制上进一步激发广大干部和教师参与到全员育人、全程育人、全方位育人的工作能动性，同时加大发展型资助经费投入，促进学校发展型资助育人模式不断进步与发展。</w:t>
            </w:r>
          </w:p>
        </w:tc>
        <w:tc>
          <w:tcPr>
            <w:tcW w:w="1701" w:type="dxa"/>
          </w:tcPr>
          <w:p w14:paraId="10C1C9E6">
            <w:pPr>
              <w:rPr>
                <w:rFonts w:ascii="仿宋" w:hAnsi="仿宋" w:eastAsia="仿宋" w:cs="仿宋"/>
                <w:bCs/>
                <w:kern w:val="0"/>
                <w:szCs w:val="21"/>
              </w:rPr>
            </w:pPr>
          </w:p>
        </w:tc>
        <w:tc>
          <w:tcPr>
            <w:tcW w:w="1560" w:type="dxa"/>
            <w:vAlign w:val="center"/>
          </w:tcPr>
          <w:p w14:paraId="756B30DA">
            <w:pPr>
              <w:rPr>
                <w:rFonts w:ascii="仿宋" w:hAnsi="仿宋" w:eastAsia="仿宋" w:cs="仿宋"/>
                <w:bCs/>
                <w:kern w:val="0"/>
                <w:szCs w:val="21"/>
              </w:rPr>
            </w:pPr>
          </w:p>
        </w:tc>
        <w:tc>
          <w:tcPr>
            <w:tcW w:w="1701" w:type="dxa"/>
            <w:vAlign w:val="center"/>
          </w:tcPr>
          <w:p w14:paraId="2C3E1328">
            <w:pPr>
              <w:rPr>
                <w:rFonts w:ascii="仿宋" w:hAnsi="仿宋" w:eastAsia="仿宋" w:cs="仿宋"/>
                <w:bCs/>
                <w:kern w:val="0"/>
                <w:szCs w:val="21"/>
              </w:rPr>
            </w:pPr>
          </w:p>
        </w:tc>
        <w:tc>
          <w:tcPr>
            <w:tcW w:w="1275" w:type="dxa"/>
            <w:vAlign w:val="center"/>
          </w:tcPr>
          <w:p w14:paraId="6471B807">
            <w:pPr>
              <w:rPr>
                <w:rFonts w:ascii="仿宋" w:hAnsi="仿宋" w:eastAsia="仿宋" w:cs="仿宋"/>
                <w:bCs/>
                <w:kern w:val="0"/>
                <w:szCs w:val="21"/>
              </w:rPr>
            </w:pPr>
          </w:p>
        </w:tc>
        <w:tc>
          <w:tcPr>
            <w:tcW w:w="993" w:type="dxa"/>
            <w:tcBorders>
              <w:top w:val="nil"/>
              <w:left w:val="single" w:color="auto" w:sz="4" w:space="0"/>
              <w:bottom w:val="single" w:color="auto" w:sz="4" w:space="0"/>
              <w:right w:val="single" w:color="auto" w:sz="4" w:space="0"/>
            </w:tcBorders>
            <w:shd w:val="clear" w:color="auto" w:fill="auto"/>
            <w:vAlign w:val="center"/>
          </w:tcPr>
          <w:p w14:paraId="79ADBDDB">
            <w:pPr>
              <w:rPr>
                <w:rFonts w:ascii="宋体" w:hAnsi="宋体" w:eastAsia="宋体" w:cs="仿宋"/>
                <w:bCs/>
                <w:kern w:val="0"/>
                <w:szCs w:val="21"/>
              </w:rPr>
            </w:pPr>
            <w:r>
              <w:rPr>
                <w:rFonts w:hint="eastAsia" w:ascii="宋体" w:hAnsi="宋体" w:eastAsia="宋体"/>
                <w:szCs w:val="21"/>
              </w:rPr>
              <w:t>学工部（处）</w:t>
            </w:r>
          </w:p>
        </w:tc>
        <w:tc>
          <w:tcPr>
            <w:tcW w:w="1559" w:type="dxa"/>
            <w:tcBorders>
              <w:top w:val="nil"/>
              <w:left w:val="nil"/>
              <w:bottom w:val="single" w:color="auto" w:sz="4" w:space="0"/>
              <w:right w:val="single" w:color="auto" w:sz="4" w:space="0"/>
            </w:tcBorders>
            <w:shd w:val="clear" w:color="auto" w:fill="auto"/>
            <w:vAlign w:val="center"/>
          </w:tcPr>
          <w:p w14:paraId="1959682E">
            <w:pPr>
              <w:rPr>
                <w:rFonts w:ascii="宋体" w:hAnsi="宋体" w:eastAsia="宋体" w:cs="仿宋"/>
                <w:bCs/>
                <w:kern w:val="0"/>
                <w:szCs w:val="21"/>
              </w:rPr>
            </w:pPr>
            <w:r>
              <w:rPr>
                <w:rFonts w:hint="eastAsia" w:ascii="宋体" w:hAnsi="宋体" w:eastAsia="宋体"/>
                <w:szCs w:val="21"/>
              </w:rPr>
              <w:t>武鸣校区管理中心、教务处、各二级学院</w:t>
            </w:r>
          </w:p>
        </w:tc>
        <w:tc>
          <w:tcPr>
            <w:tcW w:w="567" w:type="dxa"/>
            <w:vAlign w:val="center"/>
          </w:tcPr>
          <w:p w14:paraId="15FE7CAA">
            <w:pPr>
              <w:rPr>
                <w:rFonts w:ascii="仿宋" w:hAnsi="仿宋" w:eastAsia="仿宋" w:cs="仿宋"/>
                <w:bCs/>
                <w:kern w:val="0"/>
                <w:szCs w:val="21"/>
              </w:rPr>
            </w:pPr>
          </w:p>
        </w:tc>
        <w:tc>
          <w:tcPr>
            <w:tcW w:w="567" w:type="dxa"/>
            <w:vAlign w:val="center"/>
          </w:tcPr>
          <w:p w14:paraId="5F0131F7">
            <w:pPr>
              <w:rPr>
                <w:rFonts w:ascii="仿宋" w:hAnsi="仿宋" w:eastAsia="仿宋" w:cs="仿宋"/>
                <w:bCs/>
                <w:kern w:val="0"/>
                <w:szCs w:val="21"/>
              </w:rPr>
            </w:pPr>
          </w:p>
        </w:tc>
      </w:tr>
      <w:tr w14:paraId="10D0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4" w:hRule="atLeast"/>
          <w:jc w:val="center"/>
        </w:trPr>
        <w:tc>
          <w:tcPr>
            <w:tcW w:w="707" w:type="dxa"/>
            <w:vAlign w:val="center"/>
          </w:tcPr>
          <w:p w14:paraId="6C21A996">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5</w:t>
            </w:r>
          </w:p>
        </w:tc>
        <w:tc>
          <w:tcPr>
            <w:tcW w:w="708" w:type="dxa"/>
            <w:vAlign w:val="center"/>
          </w:tcPr>
          <w:p w14:paraId="6273D61A">
            <w:pPr>
              <w:adjustRightInd w:val="0"/>
              <w:snapToGrid w:val="0"/>
              <w:jc w:val="center"/>
              <w:rPr>
                <w:rFonts w:ascii="宋体" w:hAnsi="宋体" w:eastAsia="宋体" w:cs="仿宋"/>
                <w:kern w:val="0"/>
                <w:szCs w:val="21"/>
              </w:rPr>
            </w:pPr>
            <w:r>
              <w:rPr>
                <w:rFonts w:hint="eastAsia" w:ascii="宋体" w:hAnsi="宋体" w:eastAsia="宋体" w:cs="仿宋"/>
                <w:kern w:val="0"/>
                <w:szCs w:val="21"/>
              </w:rPr>
              <w:t>6.1质量管理</w:t>
            </w:r>
          </w:p>
        </w:tc>
        <w:tc>
          <w:tcPr>
            <w:tcW w:w="2124" w:type="dxa"/>
            <w:vAlign w:val="center"/>
          </w:tcPr>
          <w:p w14:paraId="10E991F8">
            <w:pPr>
              <w:rPr>
                <w:rFonts w:ascii="宋体" w:hAnsi="宋体" w:eastAsia="宋体" w:cs="仿宋"/>
                <w:kern w:val="0"/>
                <w:szCs w:val="21"/>
              </w:rPr>
            </w:pPr>
            <w:r>
              <w:rPr>
                <w:rFonts w:hint="eastAsia" w:ascii="宋体" w:hAnsi="宋体" w:eastAsia="宋体" w:cs="仿宋"/>
                <w:kern w:val="0"/>
                <w:szCs w:val="21"/>
              </w:rPr>
              <w:t>教育评价与教师发展中心和教务处在质量监控管理职能上存在一定交叉；教学督导对实验实践教学环节以及“督学”“督管”尚有不足。部分教学单位执行学校质量管理制度、质量标准尚未严格落实到位，毕业论文和试卷的质量和管理有待进一步加强。</w:t>
            </w:r>
          </w:p>
        </w:tc>
        <w:tc>
          <w:tcPr>
            <w:tcW w:w="2693" w:type="dxa"/>
            <w:vAlign w:val="center"/>
          </w:tcPr>
          <w:p w14:paraId="6B91877F">
            <w:pPr>
              <w:rPr>
                <w:rFonts w:ascii="宋体" w:hAnsi="宋体" w:eastAsia="宋体"/>
                <w:szCs w:val="21"/>
              </w:rPr>
            </w:pPr>
            <w:r>
              <w:rPr>
                <w:rFonts w:hint="eastAsia" w:ascii="宋体" w:hAnsi="宋体" w:eastAsia="宋体"/>
                <w:szCs w:val="21"/>
              </w:rPr>
              <w:t>进一步理顺教育评价与教师发展中心和教务处的质量监控管理职能；充分发挥教学督导作用，实现督教、督学、督管的全覆盖。完善教学单位教学质量考评责任制，进一步强化教学单位质量管理主体责任，完善学业多元评价机制，推进非标准答案考试改革。</w:t>
            </w:r>
          </w:p>
        </w:tc>
        <w:tc>
          <w:tcPr>
            <w:tcW w:w="1701" w:type="dxa"/>
          </w:tcPr>
          <w:p w14:paraId="4907FA03">
            <w:pPr>
              <w:rPr>
                <w:rFonts w:ascii="仿宋" w:hAnsi="仿宋" w:eastAsia="仿宋"/>
                <w:kern w:val="0"/>
                <w:szCs w:val="21"/>
              </w:rPr>
            </w:pPr>
          </w:p>
        </w:tc>
        <w:tc>
          <w:tcPr>
            <w:tcW w:w="1560" w:type="dxa"/>
            <w:vAlign w:val="center"/>
          </w:tcPr>
          <w:p w14:paraId="520F2E10">
            <w:pPr>
              <w:rPr>
                <w:rFonts w:ascii="仿宋" w:hAnsi="仿宋" w:eastAsia="仿宋"/>
                <w:kern w:val="0"/>
                <w:szCs w:val="21"/>
              </w:rPr>
            </w:pPr>
          </w:p>
        </w:tc>
        <w:tc>
          <w:tcPr>
            <w:tcW w:w="1701" w:type="dxa"/>
            <w:vAlign w:val="center"/>
          </w:tcPr>
          <w:p w14:paraId="2B670803">
            <w:pPr>
              <w:rPr>
                <w:rFonts w:ascii="仿宋" w:hAnsi="仿宋" w:eastAsia="仿宋"/>
                <w:kern w:val="0"/>
                <w:szCs w:val="21"/>
              </w:rPr>
            </w:pPr>
          </w:p>
        </w:tc>
        <w:tc>
          <w:tcPr>
            <w:tcW w:w="1275" w:type="dxa"/>
            <w:vAlign w:val="center"/>
          </w:tcPr>
          <w:p w14:paraId="2AAB19A8">
            <w:pPr>
              <w:rPr>
                <w:rFonts w:ascii="仿宋" w:hAnsi="仿宋" w:eastAsia="仿宋"/>
                <w:kern w:val="0"/>
                <w:szCs w:val="21"/>
              </w:rPr>
            </w:pPr>
          </w:p>
        </w:tc>
        <w:tc>
          <w:tcPr>
            <w:tcW w:w="993" w:type="dxa"/>
            <w:tcBorders>
              <w:top w:val="nil"/>
              <w:left w:val="single" w:color="auto" w:sz="4" w:space="0"/>
              <w:bottom w:val="single" w:color="auto" w:sz="4" w:space="0"/>
              <w:right w:val="single" w:color="auto" w:sz="4" w:space="0"/>
            </w:tcBorders>
            <w:shd w:val="clear" w:color="auto" w:fill="auto"/>
            <w:vAlign w:val="center"/>
          </w:tcPr>
          <w:p w14:paraId="01040F36">
            <w:pPr>
              <w:rPr>
                <w:rFonts w:ascii="宋体" w:hAnsi="宋体" w:eastAsia="宋体"/>
                <w:kern w:val="0"/>
                <w:szCs w:val="21"/>
              </w:rPr>
            </w:pPr>
            <w:r>
              <w:rPr>
                <w:rFonts w:hint="eastAsia" w:ascii="宋体" w:hAnsi="宋体" w:eastAsia="宋体"/>
                <w:szCs w:val="21"/>
              </w:rPr>
              <w:t>教育评价与教师发展中心</w:t>
            </w:r>
          </w:p>
        </w:tc>
        <w:tc>
          <w:tcPr>
            <w:tcW w:w="1559" w:type="dxa"/>
            <w:tcBorders>
              <w:top w:val="nil"/>
              <w:left w:val="nil"/>
              <w:bottom w:val="single" w:color="auto" w:sz="4" w:space="0"/>
              <w:right w:val="single" w:color="auto" w:sz="4" w:space="0"/>
            </w:tcBorders>
            <w:shd w:val="clear" w:color="auto" w:fill="auto"/>
            <w:vAlign w:val="center"/>
          </w:tcPr>
          <w:p w14:paraId="13C8418B">
            <w:pPr>
              <w:rPr>
                <w:rFonts w:ascii="宋体" w:hAnsi="宋体" w:eastAsia="宋体"/>
                <w:kern w:val="0"/>
                <w:szCs w:val="21"/>
              </w:rPr>
            </w:pPr>
            <w:r>
              <w:rPr>
                <w:rFonts w:hint="eastAsia" w:ascii="宋体" w:hAnsi="宋体" w:eastAsia="宋体"/>
                <w:szCs w:val="21"/>
              </w:rPr>
              <w:t>教务处，各二级学院</w:t>
            </w:r>
          </w:p>
        </w:tc>
        <w:tc>
          <w:tcPr>
            <w:tcW w:w="567" w:type="dxa"/>
            <w:vAlign w:val="center"/>
          </w:tcPr>
          <w:p w14:paraId="04872A72">
            <w:pPr>
              <w:rPr>
                <w:rFonts w:ascii="仿宋" w:hAnsi="仿宋" w:eastAsia="仿宋"/>
                <w:kern w:val="0"/>
                <w:szCs w:val="21"/>
              </w:rPr>
            </w:pPr>
          </w:p>
        </w:tc>
        <w:tc>
          <w:tcPr>
            <w:tcW w:w="567" w:type="dxa"/>
            <w:vAlign w:val="center"/>
          </w:tcPr>
          <w:p w14:paraId="50741830">
            <w:pPr>
              <w:rPr>
                <w:rFonts w:ascii="仿宋" w:hAnsi="仿宋" w:eastAsia="仿宋"/>
                <w:kern w:val="0"/>
                <w:szCs w:val="21"/>
              </w:rPr>
            </w:pPr>
          </w:p>
        </w:tc>
      </w:tr>
      <w:tr w14:paraId="4FC1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jc w:val="center"/>
        </w:trPr>
        <w:tc>
          <w:tcPr>
            <w:tcW w:w="707" w:type="dxa"/>
            <w:vAlign w:val="center"/>
          </w:tcPr>
          <w:p w14:paraId="36E9D972">
            <w:pPr>
              <w:widowControl/>
              <w:adjustRightInd w:val="0"/>
              <w:snapToGrid w:val="0"/>
              <w:jc w:val="center"/>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6</w:t>
            </w:r>
          </w:p>
        </w:tc>
        <w:tc>
          <w:tcPr>
            <w:tcW w:w="708" w:type="dxa"/>
            <w:vAlign w:val="center"/>
          </w:tcPr>
          <w:p w14:paraId="4447BE1C">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6.2质量改进</w:t>
            </w:r>
          </w:p>
        </w:tc>
        <w:tc>
          <w:tcPr>
            <w:tcW w:w="2124" w:type="dxa"/>
            <w:vAlign w:val="center"/>
          </w:tcPr>
          <w:p w14:paraId="0F550DE5">
            <w:pPr>
              <w:adjustRightInd w:val="0"/>
              <w:snapToGrid w:val="0"/>
              <w:rPr>
                <w:rFonts w:ascii="宋体" w:hAnsi="宋体" w:eastAsia="宋体" w:cs="仿宋"/>
                <w:kern w:val="0"/>
                <w:szCs w:val="21"/>
              </w:rPr>
            </w:pPr>
            <w:r>
              <w:rPr>
                <w:rFonts w:hint="eastAsia" w:ascii="宋体" w:hAnsi="宋体" w:eastAsia="宋体" w:cs="仿宋"/>
                <w:kern w:val="0"/>
                <w:szCs w:val="21"/>
              </w:rPr>
              <w:t>目前质量评价主要集中于传统的课堂教学、常规教学检查评价，关键教学环节如课程评价开展薄弱，虽有校内专业评价、课程评价制度，但尚未全面铺开。学校对评教、各类教学检查评价反馈后整改的效果持续跟踪不足，</w:t>
            </w:r>
            <w:r>
              <w:rPr>
                <w:rFonts w:hint="eastAsia" w:ascii="宋体" w:hAnsi="宋体" w:eastAsia="宋体" w:cs="仿宋"/>
                <w:szCs w:val="21"/>
              </w:rPr>
              <w:t>用人单位、毕业生及第三方机构等</w:t>
            </w:r>
            <w:r>
              <w:rPr>
                <w:rFonts w:hint="eastAsia" w:ascii="宋体" w:hAnsi="宋体" w:eastAsia="宋体" w:cs="仿宋"/>
                <w:kern w:val="0"/>
                <w:szCs w:val="21"/>
              </w:rPr>
              <w:t>外部跟踪评价结果的利用不足。</w:t>
            </w:r>
          </w:p>
        </w:tc>
        <w:tc>
          <w:tcPr>
            <w:tcW w:w="2693" w:type="dxa"/>
            <w:vAlign w:val="center"/>
          </w:tcPr>
          <w:p w14:paraId="4D02B5E0">
            <w:pPr>
              <w:rPr>
                <w:rFonts w:ascii="宋体" w:hAnsi="宋体" w:eastAsia="宋体"/>
                <w:szCs w:val="21"/>
              </w:rPr>
            </w:pPr>
            <w:r>
              <w:rPr>
                <w:rFonts w:hint="eastAsia" w:ascii="宋体" w:hAnsi="宋体" w:eastAsia="宋体"/>
                <w:szCs w:val="21"/>
              </w:rPr>
              <w:t>对标专业教学质量国家标准，全面推进校内专业评价、课程评价。进一步建立以整改落实为导向的评价、反馈、持续改进的跟踪检查机制；加强外部跟踪评价结果在人才培养过程中的利用与改进。</w:t>
            </w:r>
          </w:p>
        </w:tc>
        <w:tc>
          <w:tcPr>
            <w:tcW w:w="1701" w:type="dxa"/>
          </w:tcPr>
          <w:p w14:paraId="7C08283D">
            <w:pPr>
              <w:rPr>
                <w:rFonts w:ascii="仿宋" w:hAnsi="仿宋" w:eastAsia="仿宋"/>
                <w:kern w:val="0"/>
                <w:szCs w:val="21"/>
              </w:rPr>
            </w:pPr>
          </w:p>
        </w:tc>
        <w:tc>
          <w:tcPr>
            <w:tcW w:w="1560" w:type="dxa"/>
            <w:vAlign w:val="center"/>
          </w:tcPr>
          <w:p w14:paraId="5FFCB281">
            <w:pPr>
              <w:rPr>
                <w:rFonts w:ascii="仿宋" w:hAnsi="仿宋" w:eastAsia="仿宋"/>
                <w:kern w:val="0"/>
                <w:szCs w:val="21"/>
              </w:rPr>
            </w:pPr>
          </w:p>
        </w:tc>
        <w:tc>
          <w:tcPr>
            <w:tcW w:w="1701" w:type="dxa"/>
            <w:vAlign w:val="center"/>
          </w:tcPr>
          <w:p w14:paraId="7C58F2ED">
            <w:pPr>
              <w:rPr>
                <w:rFonts w:ascii="仿宋" w:hAnsi="仿宋" w:eastAsia="仿宋"/>
                <w:kern w:val="0"/>
                <w:szCs w:val="21"/>
              </w:rPr>
            </w:pPr>
          </w:p>
        </w:tc>
        <w:tc>
          <w:tcPr>
            <w:tcW w:w="1275" w:type="dxa"/>
            <w:vAlign w:val="center"/>
          </w:tcPr>
          <w:p w14:paraId="7B6C55CC">
            <w:pPr>
              <w:rPr>
                <w:rFonts w:ascii="仿宋" w:hAnsi="仿宋" w:eastAsia="仿宋"/>
                <w:kern w:val="0"/>
                <w:szCs w:val="21"/>
              </w:rPr>
            </w:pPr>
          </w:p>
        </w:tc>
        <w:tc>
          <w:tcPr>
            <w:tcW w:w="993" w:type="dxa"/>
            <w:tcBorders>
              <w:top w:val="nil"/>
              <w:left w:val="single" w:color="auto" w:sz="4" w:space="0"/>
              <w:bottom w:val="single" w:color="auto" w:sz="4" w:space="0"/>
              <w:right w:val="single" w:color="auto" w:sz="4" w:space="0"/>
            </w:tcBorders>
            <w:shd w:val="clear" w:color="auto" w:fill="auto"/>
            <w:vAlign w:val="center"/>
          </w:tcPr>
          <w:p w14:paraId="06245BF0">
            <w:pPr>
              <w:rPr>
                <w:rFonts w:ascii="宋体" w:hAnsi="宋体" w:eastAsia="宋体"/>
                <w:kern w:val="0"/>
                <w:szCs w:val="21"/>
              </w:rPr>
            </w:pPr>
            <w:r>
              <w:rPr>
                <w:rFonts w:hint="eastAsia" w:ascii="宋体" w:hAnsi="宋体" w:eastAsia="宋体"/>
                <w:szCs w:val="21"/>
              </w:rPr>
              <w:t>教育评价与教师发展中心</w:t>
            </w:r>
          </w:p>
        </w:tc>
        <w:tc>
          <w:tcPr>
            <w:tcW w:w="1559" w:type="dxa"/>
            <w:tcBorders>
              <w:top w:val="nil"/>
              <w:left w:val="nil"/>
              <w:bottom w:val="single" w:color="auto" w:sz="4" w:space="0"/>
              <w:right w:val="single" w:color="auto" w:sz="4" w:space="0"/>
            </w:tcBorders>
            <w:shd w:val="clear" w:color="auto" w:fill="auto"/>
            <w:vAlign w:val="center"/>
          </w:tcPr>
          <w:p w14:paraId="3BE7BE29">
            <w:pPr>
              <w:rPr>
                <w:rFonts w:ascii="宋体" w:hAnsi="宋体" w:eastAsia="宋体"/>
                <w:kern w:val="0"/>
                <w:szCs w:val="21"/>
              </w:rPr>
            </w:pPr>
            <w:r>
              <w:rPr>
                <w:rFonts w:hint="eastAsia" w:ascii="宋体" w:hAnsi="宋体" w:eastAsia="宋体"/>
                <w:szCs w:val="21"/>
              </w:rPr>
              <w:t>招就处，各二级学院</w:t>
            </w:r>
          </w:p>
        </w:tc>
        <w:tc>
          <w:tcPr>
            <w:tcW w:w="567" w:type="dxa"/>
            <w:vAlign w:val="center"/>
          </w:tcPr>
          <w:p w14:paraId="4476F8AC">
            <w:pPr>
              <w:rPr>
                <w:rFonts w:ascii="仿宋" w:hAnsi="仿宋" w:eastAsia="仿宋"/>
                <w:kern w:val="0"/>
                <w:szCs w:val="21"/>
              </w:rPr>
            </w:pPr>
          </w:p>
        </w:tc>
        <w:tc>
          <w:tcPr>
            <w:tcW w:w="567" w:type="dxa"/>
            <w:vAlign w:val="center"/>
          </w:tcPr>
          <w:p w14:paraId="232EA6CB">
            <w:pPr>
              <w:rPr>
                <w:rFonts w:ascii="仿宋" w:hAnsi="仿宋" w:eastAsia="仿宋"/>
                <w:kern w:val="0"/>
                <w:szCs w:val="21"/>
              </w:rPr>
            </w:pPr>
          </w:p>
        </w:tc>
      </w:tr>
      <w:tr w14:paraId="6BF2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7" w:type="dxa"/>
            <w:vAlign w:val="center"/>
          </w:tcPr>
          <w:p w14:paraId="4C28C2A0">
            <w:pPr>
              <w:widowControl/>
              <w:adjustRightInd w:val="0"/>
              <w:snapToGrid w:val="0"/>
              <w:jc w:val="center"/>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7</w:t>
            </w:r>
          </w:p>
        </w:tc>
        <w:tc>
          <w:tcPr>
            <w:tcW w:w="708" w:type="dxa"/>
            <w:vAlign w:val="center"/>
          </w:tcPr>
          <w:p w14:paraId="52BF5DC6">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6.3质量文化</w:t>
            </w:r>
          </w:p>
        </w:tc>
        <w:tc>
          <w:tcPr>
            <w:tcW w:w="2124" w:type="dxa"/>
            <w:vAlign w:val="center"/>
          </w:tcPr>
          <w:p w14:paraId="127D531E">
            <w:pPr>
              <w:adjustRightInd w:val="0"/>
              <w:snapToGrid w:val="0"/>
              <w:rPr>
                <w:rFonts w:ascii="宋体" w:hAnsi="宋体" w:eastAsia="宋体" w:cs="仿宋"/>
                <w:kern w:val="0"/>
                <w:szCs w:val="21"/>
              </w:rPr>
            </w:pPr>
            <w:r>
              <w:rPr>
                <w:rFonts w:hint="eastAsia" w:ascii="宋体" w:hAnsi="宋体" w:eastAsia="宋体" w:cs="仿宋"/>
                <w:kern w:val="0"/>
                <w:szCs w:val="21"/>
              </w:rPr>
              <w:t>学校对质量文化的理论研究不足，师生员工对质量文化的内涵理解不够清晰，导致质量要求落地不足。</w:t>
            </w:r>
          </w:p>
        </w:tc>
        <w:tc>
          <w:tcPr>
            <w:tcW w:w="2693" w:type="dxa"/>
            <w:vAlign w:val="center"/>
          </w:tcPr>
          <w:p w14:paraId="6CEA65BC">
            <w:pPr>
              <w:rPr>
                <w:rFonts w:ascii="宋体" w:hAnsi="宋体" w:eastAsia="宋体"/>
                <w:szCs w:val="21"/>
              </w:rPr>
            </w:pPr>
            <w:r>
              <w:rPr>
                <w:rFonts w:hint="eastAsia" w:ascii="宋体" w:hAnsi="宋体" w:eastAsia="宋体"/>
                <w:szCs w:val="21"/>
              </w:rPr>
              <w:t>进一步加强质量文化研究与建设，将质量意识、质量标准、质量管理等落实到教育教学各个环节，内化为师生共同价值追求和自觉行为。</w:t>
            </w:r>
          </w:p>
        </w:tc>
        <w:tc>
          <w:tcPr>
            <w:tcW w:w="1701" w:type="dxa"/>
          </w:tcPr>
          <w:p w14:paraId="774DD434">
            <w:pPr>
              <w:rPr>
                <w:rFonts w:ascii="仿宋" w:hAnsi="仿宋" w:eastAsia="仿宋"/>
                <w:kern w:val="0"/>
                <w:szCs w:val="21"/>
              </w:rPr>
            </w:pPr>
          </w:p>
        </w:tc>
        <w:tc>
          <w:tcPr>
            <w:tcW w:w="1560" w:type="dxa"/>
            <w:vAlign w:val="center"/>
          </w:tcPr>
          <w:p w14:paraId="7FD2D948">
            <w:pPr>
              <w:rPr>
                <w:rFonts w:ascii="仿宋" w:hAnsi="仿宋" w:eastAsia="仿宋"/>
                <w:kern w:val="0"/>
                <w:szCs w:val="21"/>
              </w:rPr>
            </w:pPr>
          </w:p>
        </w:tc>
        <w:tc>
          <w:tcPr>
            <w:tcW w:w="1701" w:type="dxa"/>
            <w:vAlign w:val="center"/>
          </w:tcPr>
          <w:p w14:paraId="56E68BE0">
            <w:pPr>
              <w:rPr>
                <w:rFonts w:ascii="仿宋" w:hAnsi="仿宋" w:eastAsia="仿宋"/>
                <w:kern w:val="0"/>
                <w:szCs w:val="21"/>
              </w:rPr>
            </w:pPr>
          </w:p>
        </w:tc>
        <w:tc>
          <w:tcPr>
            <w:tcW w:w="1275" w:type="dxa"/>
            <w:vAlign w:val="center"/>
          </w:tcPr>
          <w:p w14:paraId="6590FFCB">
            <w:pPr>
              <w:rPr>
                <w:rFonts w:ascii="仿宋" w:hAnsi="仿宋" w:eastAsia="仿宋"/>
                <w:kern w:val="0"/>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6B1EC69">
            <w:pPr>
              <w:rPr>
                <w:rFonts w:ascii="宋体" w:hAnsi="宋体" w:eastAsia="宋体"/>
                <w:kern w:val="0"/>
                <w:szCs w:val="21"/>
              </w:rPr>
            </w:pPr>
            <w:r>
              <w:rPr>
                <w:rFonts w:hint="eastAsia" w:ascii="宋体" w:hAnsi="宋体" w:eastAsia="宋体"/>
                <w:szCs w:val="21"/>
              </w:rPr>
              <w:t>教育评价与教师发展中心</w:t>
            </w:r>
          </w:p>
        </w:tc>
        <w:tc>
          <w:tcPr>
            <w:tcW w:w="1559" w:type="dxa"/>
            <w:tcBorders>
              <w:top w:val="single" w:color="auto" w:sz="4" w:space="0"/>
              <w:left w:val="nil"/>
              <w:bottom w:val="single" w:color="auto" w:sz="4" w:space="0"/>
              <w:right w:val="single" w:color="auto" w:sz="4" w:space="0"/>
            </w:tcBorders>
            <w:shd w:val="clear" w:color="auto" w:fill="auto"/>
            <w:vAlign w:val="center"/>
          </w:tcPr>
          <w:p w14:paraId="72C72D91">
            <w:pPr>
              <w:rPr>
                <w:rFonts w:ascii="宋体" w:hAnsi="宋体" w:eastAsia="宋体"/>
                <w:kern w:val="0"/>
                <w:szCs w:val="21"/>
              </w:rPr>
            </w:pPr>
            <w:r>
              <w:rPr>
                <w:rFonts w:hint="eastAsia" w:ascii="宋体" w:hAnsi="宋体" w:eastAsia="宋体"/>
                <w:szCs w:val="21"/>
              </w:rPr>
              <w:t>校内各单位</w:t>
            </w:r>
          </w:p>
        </w:tc>
        <w:tc>
          <w:tcPr>
            <w:tcW w:w="567" w:type="dxa"/>
            <w:vAlign w:val="center"/>
          </w:tcPr>
          <w:p w14:paraId="5E2C0112">
            <w:pPr>
              <w:rPr>
                <w:rFonts w:ascii="仿宋" w:hAnsi="仿宋" w:eastAsia="仿宋"/>
                <w:kern w:val="0"/>
                <w:szCs w:val="21"/>
              </w:rPr>
            </w:pPr>
          </w:p>
        </w:tc>
        <w:tc>
          <w:tcPr>
            <w:tcW w:w="567" w:type="dxa"/>
            <w:vAlign w:val="center"/>
          </w:tcPr>
          <w:p w14:paraId="5931F0DF">
            <w:pPr>
              <w:rPr>
                <w:rFonts w:ascii="仿宋" w:hAnsi="仿宋" w:eastAsia="仿宋"/>
                <w:kern w:val="0"/>
                <w:szCs w:val="21"/>
              </w:rPr>
            </w:pPr>
          </w:p>
        </w:tc>
      </w:tr>
      <w:tr w14:paraId="7539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jc w:val="center"/>
        </w:trPr>
        <w:tc>
          <w:tcPr>
            <w:tcW w:w="707" w:type="dxa"/>
            <w:vAlign w:val="center"/>
          </w:tcPr>
          <w:p w14:paraId="4F31C41A">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1</w:t>
            </w:r>
            <w:r>
              <w:rPr>
                <w:rFonts w:ascii="宋体" w:hAnsi="宋体" w:eastAsia="宋体" w:cs="仿宋"/>
                <w:kern w:val="0"/>
                <w:szCs w:val="21"/>
              </w:rPr>
              <w:t>8</w:t>
            </w:r>
          </w:p>
        </w:tc>
        <w:tc>
          <w:tcPr>
            <w:tcW w:w="708" w:type="dxa"/>
            <w:vAlign w:val="center"/>
          </w:tcPr>
          <w:p w14:paraId="433CE6D9">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7.1达成度</w:t>
            </w:r>
          </w:p>
        </w:tc>
        <w:tc>
          <w:tcPr>
            <w:tcW w:w="2124" w:type="dxa"/>
            <w:vAlign w:val="center"/>
          </w:tcPr>
          <w:p w14:paraId="1270DEAA">
            <w:pPr>
              <w:widowControl/>
              <w:rPr>
                <w:rFonts w:ascii="宋体" w:hAnsi="宋体" w:eastAsia="宋体" w:cs="仿宋"/>
                <w:szCs w:val="21"/>
              </w:rPr>
            </w:pPr>
            <w:r>
              <w:rPr>
                <w:rFonts w:hint="eastAsia" w:ascii="宋体" w:hAnsi="宋体" w:eastAsia="宋体" w:cs="仿宋"/>
                <w:szCs w:val="21"/>
              </w:rPr>
              <w:t>毕业生质量追踪调查与人才培养的联动机制尚不健全，反馈的调查结果未能有效落实到人才培养各环节。</w:t>
            </w:r>
          </w:p>
        </w:tc>
        <w:tc>
          <w:tcPr>
            <w:tcW w:w="2693" w:type="dxa"/>
            <w:vAlign w:val="center"/>
          </w:tcPr>
          <w:p w14:paraId="0F1ACC58">
            <w:pPr>
              <w:rPr>
                <w:rFonts w:ascii="宋体" w:hAnsi="宋体" w:eastAsia="宋体"/>
                <w:szCs w:val="21"/>
              </w:rPr>
            </w:pPr>
            <w:r>
              <w:rPr>
                <w:rFonts w:hint="eastAsia" w:ascii="宋体" w:hAnsi="宋体" w:eastAsia="宋体"/>
                <w:szCs w:val="21"/>
              </w:rPr>
              <w:t>加强常态化的毕业生质量持续跟踪评价机制，将用人单位反馈、毕业生反馈、第三方评价等外部评价结果应用于专业布局、人才培养各环节的优化调整。</w:t>
            </w:r>
          </w:p>
        </w:tc>
        <w:tc>
          <w:tcPr>
            <w:tcW w:w="1701" w:type="dxa"/>
          </w:tcPr>
          <w:p w14:paraId="121E025F">
            <w:pPr>
              <w:rPr>
                <w:rFonts w:ascii="仿宋" w:hAnsi="仿宋" w:eastAsia="仿宋"/>
                <w:kern w:val="0"/>
                <w:szCs w:val="21"/>
              </w:rPr>
            </w:pPr>
          </w:p>
        </w:tc>
        <w:tc>
          <w:tcPr>
            <w:tcW w:w="1560" w:type="dxa"/>
            <w:vAlign w:val="center"/>
          </w:tcPr>
          <w:p w14:paraId="244DA50B">
            <w:pPr>
              <w:rPr>
                <w:rFonts w:ascii="仿宋" w:hAnsi="仿宋" w:eastAsia="仿宋"/>
                <w:kern w:val="0"/>
                <w:szCs w:val="21"/>
              </w:rPr>
            </w:pPr>
          </w:p>
        </w:tc>
        <w:tc>
          <w:tcPr>
            <w:tcW w:w="1701" w:type="dxa"/>
            <w:vAlign w:val="center"/>
          </w:tcPr>
          <w:p w14:paraId="51C1691E">
            <w:pPr>
              <w:rPr>
                <w:rFonts w:ascii="仿宋" w:hAnsi="仿宋" w:eastAsia="仿宋"/>
                <w:kern w:val="0"/>
                <w:szCs w:val="21"/>
              </w:rPr>
            </w:pPr>
          </w:p>
        </w:tc>
        <w:tc>
          <w:tcPr>
            <w:tcW w:w="1275" w:type="dxa"/>
            <w:vAlign w:val="center"/>
          </w:tcPr>
          <w:p w14:paraId="03EA80BD">
            <w:pPr>
              <w:rPr>
                <w:rFonts w:ascii="仿宋" w:hAnsi="仿宋" w:eastAsia="仿宋"/>
                <w:kern w:val="0"/>
                <w:szCs w:val="21"/>
              </w:rPr>
            </w:pPr>
          </w:p>
        </w:tc>
        <w:tc>
          <w:tcPr>
            <w:tcW w:w="993" w:type="dxa"/>
            <w:tcBorders>
              <w:top w:val="nil"/>
              <w:left w:val="single" w:color="auto" w:sz="4" w:space="0"/>
              <w:bottom w:val="single" w:color="auto" w:sz="4" w:space="0"/>
              <w:right w:val="single" w:color="auto" w:sz="4" w:space="0"/>
            </w:tcBorders>
            <w:shd w:val="clear" w:color="auto" w:fill="auto"/>
            <w:vAlign w:val="center"/>
          </w:tcPr>
          <w:p w14:paraId="56598828">
            <w:pPr>
              <w:rPr>
                <w:rFonts w:ascii="宋体" w:hAnsi="宋体" w:eastAsia="宋体"/>
                <w:kern w:val="0"/>
                <w:szCs w:val="21"/>
              </w:rPr>
            </w:pPr>
            <w:r>
              <w:rPr>
                <w:rFonts w:hint="eastAsia" w:ascii="宋体" w:hAnsi="宋体" w:eastAsia="宋体"/>
                <w:szCs w:val="21"/>
              </w:rPr>
              <w:t>招就处</w:t>
            </w:r>
          </w:p>
        </w:tc>
        <w:tc>
          <w:tcPr>
            <w:tcW w:w="1559" w:type="dxa"/>
            <w:tcBorders>
              <w:top w:val="nil"/>
              <w:left w:val="nil"/>
              <w:bottom w:val="single" w:color="auto" w:sz="4" w:space="0"/>
              <w:right w:val="single" w:color="auto" w:sz="4" w:space="0"/>
            </w:tcBorders>
            <w:shd w:val="clear" w:color="auto" w:fill="auto"/>
            <w:vAlign w:val="center"/>
          </w:tcPr>
          <w:p w14:paraId="43C95AE5">
            <w:pPr>
              <w:rPr>
                <w:rFonts w:ascii="宋体" w:hAnsi="宋体" w:eastAsia="宋体"/>
                <w:kern w:val="0"/>
                <w:szCs w:val="21"/>
              </w:rPr>
            </w:pPr>
            <w:r>
              <w:rPr>
                <w:rFonts w:hint="eastAsia" w:ascii="宋体" w:hAnsi="宋体" w:eastAsia="宋体"/>
                <w:szCs w:val="21"/>
              </w:rPr>
              <w:t>教务处、教育评价与教师发展中心、各二级学院</w:t>
            </w:r>
          </w:p>
        </w:tc>
        <w:tc>
          <w:tcPr>
            <w:tcW w:w="567" w:type="dxa"/>
            <w:vAlign w:val="center"/>
          </w:tcPr>
          <w:p w14:paraId="1EB0E068">
            <w:pPr>
              <w:rPr>
                <w:rFonts w:ascii="仿宋" w:hAnsi="仿宋" w:eastAsia="仿宋"/>
                <w:kern w:val="0"/>
                <w:szCs w:val="21"/>
              </w:rPr>
            </w:pPr>
          </w:p>
        </w:tc>
        <w:tc>
          <w:tcPr>
            <w:tcW w:w="567" w:type="dxa"/>
            <w:vAlign w:val="center"/>
          </w:tcPr>
          <w:p w14:paraId="029DA7C3">
            <w:pPr>
              <w:rPr>
                <w:rFonts w:ascii="仿宋" w:hAnsi="仿宋" w:eastAsia="仿宋"/>
                <w:kern w:val="0"/>
                <w:szCs w:val="21"/>
              </w:rPr>
            </w:pPr>
          </w:p>
        </w:tc>
      </w:tr>
      <w:tr w14:paraId="7727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7" w:hRule="atLeast"/>
          <w:jc w:val="center"/>
        </w:trPr>
        <w:tc>
          <w:tcPr>
            <w:tcW w:w="707" w:type="dxa"/>
            <w:vAlign w:val="center"/>
          </w:tcPr>
          <w:p w14:paraId="3E51E5E2">
            <w:pPr>
              <w:widowControl/>
              <w:adjustRightInd w:val="0"/>
              <w:snapToGrid w:val="0"/>
              <w:jc w:val="center"/>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9</w:t>
            </w:r>
          </w:p>
        </w:tc>
        <w:tc>
          <w:tcPr>
            <w:tcW w:w="708" w:type="dxa"/>
            <w:vAlign w:val="center"/>
          </w:tcPr>
          <w:p w14:paraId="66ECECD6">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7.3保障度</w:t>
            </w:r>
          </w:p>
        </w:tc>
        <w:tc>
          <w:tcPr>
            <w:tcW w:w="2124" w:type="dxa"/>
            <w:vAlign w:val="center"/>
          </w:tcPr>
          <w:p w14:paraId="2A46B080">
            <w:pPr>
              <w:widowControl/>
              <w:rPr>
                <w:rFonts w:ascii="宋体" w:hAnsi="宋体" w:eastAsia="宋体" w:cs="仿宋"/>
                <w:szCs w:val="21"/>
              </w:rPr>
            </w:pPr>
            <w:r>
              <w:rPr>
                <w:rFonts w:hint="eastAsia" w:ascii="宋体" w:hAnsi="宋体" w:eastAsia="宋体" w:cs="仿宋"/>
                <w:szCs w:val="21"/>
              </w:rPr>
              <w:t>教师数量、结构有待优化。部分专业的生师比偏高，授课压力大，不利于保证教学效果和教师综合发展。博士学位教师偏少，部分专业带头人不是正高职称，部分专业没有正高职称教师或者仅有1位。办学投入不足，生均教学经费特别是实习经费低于常模，办学经费、基础设施建设等与高水平大学相比还有较大提升空间。高水平学术报告（讲座）数量较少，本科生听报告次数较少。教师参加教学技能和职业能力培训的机会尚有不足，覆盖面不广。</w:t>
            </w:r>
          </w:p>
        </w:tc>
        <w:tc>
          <w:tcPr>
            <w:tcW w:w="2693" w:type="dxa"/>
            <w:vAlign w:val="center"/>
          </w:tcPr>
          <w:p w14:paraId="74EDE168">
            <w:pPr>
              <w:rPr>
                <w:rFonts w:ascii="宋体" w:hAnsi="宋体" w:eastAsia="宋体"/>
                <w:szCs w:val="21"/>
              </w:rPr>
            </w:pPr>
            <w:r>
              <w:rPr>
                <w:rFonts w:hint="eastAsia" w:ascii="宋体" w:hAnsi="宋体" w:eastAsia="宋体"/>
                <w:szCs w:val="21"/>
              </w:rPr>
              <w:t>科学制定师资队伍建设规划，加大高水平领军人才、教学科研团队、紧缺专业教师的引进力度，鼓励和支持教师提升职称，优化师资结构。多方筹措，加大教育经费投入，为本科教学提供充足保障，为教师提供更多提升业务能力机会。进一步营造学术氛围，激发学生学习兴趣。加强新校区基础设施建设，及时更新本部学习生活设施，为学生学习、生活提供更好条件。</w:t>
            </w:r>
          </w:p>
        </w:tc>
        <w:tc>
          <w:tcPr>
            <w:tcW w:w="1701" w:type="dxa"/>
          </w:tcPr>
          <w:p w14:paraId="64ED5AD9">
            <w:pPr>
              <w:rPr>
                <w:rFonts w:ascii="仿宋" w:hAnsi="仿宋" w:eastAsia="仿宋"/>
                <w:kern w:val="0"/>
                <w:szCs w:val="21"/>
              </w:rPr>
            </w:pPr>
          </w:p>
        </w:tc>
        <w:tc>
          <w:tcPr>
            <w:tcW w:w="1560" w:type="dxa"/>
            <w:vAlign w:val="center"/>
          </w:tcPr>
          <w:p w14:paraId="00C331A5">
            <w:pPr>
              <w:rPr>
                <w:rFonts w:ascii="仿宋" w:hAnsi="仿宋" w:eastAsia="仿宋"/>
                <w:kern w:val="0"/>
                <w:szCs w:val="21"/>
              </w:rPr>
            </w:pPr>
          </w:p>
        </w:tc>
        <w:tc>
          <w:tcPr>
            <w:tcW w:w="1701" w:type="dxa"/>
            <w:vAlign w:val="center"/>
          </w:tcPr>
          <w:p w14:paraId="5B542F40">
            <w:pPr>
              <w:rPr>
                <w:rFonts w:ascii="仿宋" w:hAnsi="仿宋" w:eastAsia="仿宋"/>
                <w:kern w:val="0"/>
                <w:szCs w:val="21"/>
              </w:rPr>
            </w:pPr>
          </w:p>
        </w:tc>
        <w:tc>
          <w:tcPr>
            <w:tcW w:w="1275" w:type="dxa"/>
            <w:vAlign w:val="center"/>
          </w:tcPr>
          <w:p w14:paraId="47A59FD0">
            <w:pPr>
              <w:rPr>
                <w:rFonts w:ascii="仿宋" w:hAnsi="仿宋" w:eastAsia="仿宋"/>
                <w:kern w:val="0"/>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7F0D3A4">
            <w:pPr>
              <w:rPr>
                <w:rFonts w:ascii="宋体" w:hAnsi="宋体" w:eastAsia="宋体"/>
                <w:kern w:val="0"/>
                <w:szCs w:val="21"/>
              </w:rPr>
            </w:pPr>
            <w:r>
              <w:rPr>
                <w:rFonts w:hint="eastAsia" w:ascii="宋体" w:hAnsi="宋体" w:eastAsia="宋体"/>
                <w:szCs w:val="21"/>
              </w:rPr>
              <w:t>人事处</w:t>
            </w:r>
          </w:p>
        </w:tc>
        <w:tc>
          <w:tcPr>
            <w:tcW w:w="1559" w:type="dxa"/>
            <w:tcBorders>
              <w:top w:val="single" w:color="auto" w:sz="4" w:space="0"/>
              <w:left w:val="nil"/>
              <w:bottom w:val="single" w:color="auto" w:sz="4" w:space="0"/>
              <w:right w:val="single" w:color="auto" w:sz="4" w:space="0"/>
            </w:tcBorders>
            <w:shd w:val="clear" w:color="auto" w:fill="auto"/>
            <w:vAlign w:val="center"/>
          </w:tcPr>
          <w:p w14:paraId="2CF415B1">
            <w:pPr>
              <w:rPr>
                <w:rFonts w:ascii="宋体" w:hAnsi="宋体" w:eastAsia="宋体"/>
                <w:kern w:val="0"/>
                <w:szCs w:val="21"/>
              </w:rPr>
            </w:pPr>
            <w:r>
              <w:rPr>
                <w:rFonts w:hint="eastAsia" w:ascii="宋体" w:hAnsi="宋体" w:eastAsia="宋体"/>
                <w:szCs w:val="21"/>
              </w:rPr>
              <w:t>财务处、国资处、科技处、学工部（处）、教务处、教育评价与教师发展中心、各二级学院</w:t>
            </w:r>
          </w:p>
        </w:tc>
        <w:tc>
          <w:tcPr>
            <w:tcW w:w="567" w:type="dxa"/>
            <w:vAlign w:val="center"/>
          </w:tcPr>
          <w:p w14:paraId="2AF0FC59">
            <w:pPr>
              <w:rPr>
                <w:rFonts w:ascii="仿宋" w:hAnsi="仿宋" w:eastAsia="仿宋"/>
                <w:kern w:val="0"/>
                <w:szCs w:val="21"/>
              </w:rPr>
            </w:pPr>
          </w:p>
        </w:tc>
        <w:tc>
          <w:tcPr>
            <w:tcW w:w="567" w:type="dxa"/>
            <w:vAlign w:val="center"/>
          </w:tcPr>
          <w:p w14:paraId="7A0D9C06">
            <w:pPr>
              <w:rPr>
                <w:rFonts w:ascii="仿宋" w:hAnsi="仿宋" w:eastAsia="仿宋"/>
                <w:kern w:val="0"/>
                <w:szCs w:val="21"/>
              </w:rPr>
            </w:pPr>
          </w:p>
        </w:tc>
      </w:tr>
      <w:tr w14:paraId="46FD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7" w:type="dxa"/>
            <w:vAlign w:val="center"/>
          </w:tcPr>
          <w:p w14:paraId="435E5467">
            <w:pPr>
              <w:widowControl/>
              <w:adjustRightInd w:val="0"/>
              <w:snapToGrid w:val="0"/>
              <w:jc w:val="center"/>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0</w:t>
            </w:r>
          </w:p>
        </w:tc>
        <w:tc>
          <w:tcPr>
            <w:tcW w:w="708" w:type="dxa"/>
            <w:vAlign w:val="center"/>
          </w:tcPr>
          <w:p w14:paraId="14D8C16C">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7.4有效度</w:t>
            </w:r>
          </w:p>
        </w:tc>
        <w:tc>
          <w:tcPr>
            <w:tcW w:w="2124" w:type="dxa"/>
            <w:vAlign w:val="center"/>
          </w:tcPr>
          <w:p w14:paraId="5A810315">
            <w:pPr>
              <w:pStyle w:val="3"/>
              <w:spacing w:before="0" w:after="0"/>
              <w:rPr>
                <w:rFonts w:ascii="宋体" w:hAnsi="宋体" w:eastAsia="宋体" w:cs="仿宋"/>
                <w:b/>
                <w:bCs/>
                <w:color w:val="auto"/>
                <w:sz w:val="21"/>
                <w:szCs w:val="21"/>
              </w:rPr>
            </w:pPr>
            <w:r>
              <w:rPr>
                <w:rFonts w:hint="eastAsia" w:ascii="宋体" w:hAnsi="宋体" w:eastAsia="宋体" w:cs="仿宋"/>
                <w:color w:val="auto"/>
                <w:sz w:val="21"/>
                <w:szCs w:val="21"/>
              </w:rPr>
              <w:t>部分学生学习主动性、创新能力有待进一步提升，获得学术成果低于同级同类高校常模。课堂教学标准执行不足，质量保障体系建设还落实不到位，部分课程的高阶性、挑战度不够。</w:t>
            </w:r>
          </w:p>
        </w:tc>
        <w:tc>
          <w:tcPr>
            <w:tcW w:w="2693" w:type="dxa"/>
            <w:vAlign w:val="center"/>
          </w:tcPr>
          <w:p w14:paraId="226014F9">
            <w:pPr>
              <w:rPr>
                <w:rFonts w:ascii="宋体" w:hAnsi="宋体" w:eastAsia="宋体"/>
                <w:szCs w:val="21"/>
              </w:rPr>
            </w:pPr>
            <w:r>
              <w:rPr>
                <w:rFonts w:hint="eastAsia" w:ascii="宋体" w:hAnsi="宋体" w:eastAsia="宋体"/>
                <w:szCs w:val="21"/>
              </w:rPr>
              <w:t>采取有效措施，改革教学方法，加强学生自主学习能力和创新意识的培养。加快完善教学质量监控体系，提升质量文化意识，将“评价－反馈－改进”的闭环机制落到实处，推动学校内涵式发展。</w:t>
            </w:r>
          </w:p>
        </w:tc>
        <w:tc>
          <w:tcPr>
            <w:tcW w:w="1701" w:type="dxa"/>
          </w:tcPr>
          <w:p w14:paraId="5B114DDA">
            <w:pPr>
              <w:rPr>
                <w:rFonts w:ascii="仿宋" w:hAnsi="仿宋" w:eastAsia="仿宋"/>
                <w:szCs w:val="21"/>
              </w:rPr>
            </w:pPr>
          </w:p>
        </w:tc>
        <w:tc>
          <w:tcPr>
            <w:tcW w:w="1560" w:type="dxa"/>
            <w:vAlign w:val="center"/>
          </w:tcPr>
          <w:p w14:paraId="41E48348">
            <w:pPr>
              <w:rPr>
                <w:rFonts w:ascii="仿宋" w:hAnsi="仿宋" w:eastAsia="仿宋"/>
                <w:szCs w:val="21"/>
              </w:rPr>
            </w:pPr>
          </w:p>
        </w:tc>
        <w:tc>
          <w:tcPr>
            <w:tcW w:w="1701" w:type="dxa"/>
            <w:vAlign w:val="center"/>
          </w:tcPr>
          <w:p w14:paraId="768D27E3">
            <w:pPr>
              <w:rPr>
                <w:rFonts w:ascii="仿宋" w:hAnsi="仿宋" w:eastAsia="仿宋"/>
                <w:szCs w:val="21"/>
              </w:rPr>
            </w:pPr>
          </w:p>
        </w:tc>
        <w:tc>
          <w:tcPr>
            <w:tcW w:w="1275" w:type="dxa"/>
            <w:vAlign w:val="center"/>
          </w:tcPr>
          <w:p w14:paraId="20401B4A">
            <w:pPr>
              <w:rPr>
                <w:rFonts w:ascii="仿宋" w:hAnsi="仿宋" w:eastAsia="仿宋"/>
                <w:szCs w:val="21"/>
              </w:rPr>
            </w:pPr>
          </w:p>
        </w:tc>
        <w:tc>
          <w:tcPr>
            <w:tcW w:w="993" w:type="dxa"/>
            <w:tcBorders>
              <w:top w:val="nil"/>
              <w:left w:val="single" w:color="auto" w:sz="4" w:space="0"/>
              <w:bottom w:val="single" w:color="auto" w:sz="4" w:space="0"/>
              <w:right w:val="single" w:color="auto" w:sz="4" w:space="0"/>
            </w:tcBorders>
            <w:shd w:val="clear" w:color="auto" w:fill="auto"/>
            <w:vAlign w:val="center"/>
          </w:tcPr>
          <w:p w14:paraId="5663A80B">
            <w:pPr>
              <w:rPr>
                <w:rFonts w:ascii="宋体" w:hAnsi="宋体" w:eastAsia="宋体"/>
                <w:szCs w:val="21"/>
              </w:rPr>
            </w:pPr>
            <w:r>
              <w:rPr>
                <w:rFonts w:hint="eastAsia" w:ascii="宋体" w:hAnsi="宋体" w:eastAsia="宋体"/>
                <w:szCs w:val="21"/>
              </w:rPr>
              <w:t>教育评价与教师发展中心</w:t>
            </w:r>
          </w:p>
        </w:tc>
        <w:tc>
          <w:tcPr>
            <w:tcW w:w="1559" w:type="dxa"/>
            <w:tcBorders>
              <w:top w:val="nil"/>
              <w:left w:val="nil"/>
              <w:bottom w:val="single" w:color="auto" w:sz="4" w:space="0"/>
              <w:right w:val="single" w:color="auto" w:sz="4" w:space="0"/>
            </w:tcBorders>
            <w:shd w:val="clear" w:color="auto" w:fill="auto"/>
            <w:vAlign w:val="center"/>
          </w:tcPr>
          <w:p w14:paraId="483296BF">
            <w:pPr>
              <w:jc w:val="left"/>
              <w:rPr>
                <w:rFonts w:ascii="宋体" w:hAnsi="宋体" w:eastAsia="宋体"/>
                <w:szCs w:val="21"/>
              </w:rPr>
            </w:pPr>
            <w:r>
              <w:rPr>
                <w:rFonts w:hint="eastAsia" w:ascii="宋体" w:hAnsi="宋体" w:eastAsia="宋体"/>
                <w:szCs w:val="21"/>
              </w:rPr>
              <w:t>学工部（处）、校团委、教务处、科技处、各二级学院</w:t>
            </w:r>
          </w:p>
        </w:tc>
        <w:tc>
          <w:tcPr>
            <w:tcW w:w="567" w:type="dxa"/>
            <w:vAlign w:val="center"/>
          </w:tcPr>
          <w:p w14:paraId="57CDF4AD">
            <w:pPr>
              <w:rPr>
                <w:rFonts w:ascii="仿宋" w:hAnsi="仿宋" w:eastAsia="仿宋"/>
                <w:szCs w:val="21"/>
              </w:rPr>
            </w:pPr>
          </w:p>
        </w:tc>
        <w:tc>
          <w:tcPr>
            <w:tcW w:w="567" w:type="dxa"/>
            <w:vAlign w:val="center"/>
          </w:tcPr>
          <w:p w14:paraId="13308224">
            <w:pPr>
              <w:rPr>
                <w:rFonts w:ascii="仿宋" w:hAnsi="仿宋" w:eastAsia="仿宋"/>
                <w:szCs w:val="21"/>
              </w:rPr>
            </w:pPr>
          </w:p>
        </w:tc>
      </w:tr>
      <w:tr w14:paraId="5256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4" w:hRule="atLeast"/>
          <w:jc w:val="center"/>
        </w:trPr>
        <w:tc>
          <w:tcPr>
            <w:tcW w:w="707" w:type="dxa"/>
            <w:vAlign w:val="center"/>
          </w:tcPr>
          <w:p w14:paraId="0303B8D8">
            <w:pPr>
              <w:widowControl/>
              <w:adjustRightInd w:val="0"/>
              <w:snapToGrid w:val="0"/>
              <w:jc w:val="center"/>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1</w:t>
            </w:r>
          </w:p>
        </w:tc>
        <w:tc>
          <w:tcPr>
            <w:tcW w:w="708" w:type="dxa"/>
            <w:vAlign w:val="center"/>
          </w:tcPr>
          <w:p w14:paraId="40D6E081">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7.5满意度</w:t>
            </w:r>
          </w:p>
        </w:tc>
        <w:tc>
          <w:tcPr>
            <w:tcW w:w="2124" w:type="dxa"/>
            <w:vAlign w:val="center"/>
          </w:tcPr>
          <w:p w14:paraId="0E6F8AE3">
            <w:pPr>
              <w:widowControl/>
              <w:rPr>
                <w:rFonts w:ascii="宋体" w:hAnsi="宋体" w:eastAsia="宋体" w:cs="仿宋"/>
                <w:szCs w:val="21"/>
              </w:rPr>
            </w:pPr>
            <w:r>
              <w:rPr>
                <w:rFonts w:hint="eastAsia" w:ascii="宋体" w:hAnsi="宋体" w:eastAsia="宋体" w:cs="仿宋"/>
                <w:szCs w:val="21"/>
              </w:rPr>
              <w:t>学生对体、美、劳教育、创新创业教育，以及校园文化多样性建设等方面的满意度还有提升空间。毕业生对工作满意度、职业发展满意度也有待提高。学生职业生涯规划与就业指导，以及面对用人单位的就业服务等方面也需要进一步完善。</w:t>
            </w:r>
            <w:r>
              <w:rPr>
                <w:rFonts w:hint="eastAsia" w:ascii="宋体" w:hAnsi="宋体" w:eastAsia="宋体" w:cs="仿宋"/>
                <w:color w:val="000000" w:themeColor="text1"/>
                <w:szCs w:val="21"/>
                <w14:textFill>
                  <w14:solidFill>
                    <w14:schemeClr w14:val="tx1"/>
                  </w14:solidFill>
                </w14:textFill>
              </w:rPr>
              <w:t>毕业生质量追踪调查机制有待进一步改进，对调查结果利用的有效性不足。</w:t>
            </w:r>
          </w:p>
        </w:tc>
        <w:tc>
          <w:tcPr>
            <w:tcW w:w="2693" w:type="dxa"/>
            <w:vAlign w:val="center"/>
          </w:tcPr>
          <w:p w14:paraId="682FDEA9">
            <w:pPr>
              <w:rPr>
                <w:rFonts w:ascii="宋体" w:hAnsi="宋体" w:eastAsia="宋体"/>
                <w:szCs w:val="21"/>
              </w:rPr>
            </w:pPr>
            <w:r>
              <w:rPr>
                <w:rFonts w:hint="eastAsia" w:ascii="宋体" w:hAnsi="宋体" w:eastAsia="宋体"/>
                <w:szCs w:val="21"/>
              </w:rPr>
              <w:t>建立学生学业多元评价机制，注重“五育并举”协同发展，加强校园文化多样性建设，关注学生非专业综合能力培养，坚持专业教育与非专业素质教育（包括人文素养）同步推进，为学生后续发展奠定基础。积极与用人单位合作，加强对学生职业规划和就业创业的指导</w:t>
            </w:r>
            <w:r>
              <w:rPr>
                <w:rFonts w:hint="eastAsia" w:ascii="宋体" w:hAnsi="宋体" w:eastAsia="宋体" w:cs="仿宋"/>
                <w:color w:val="000000" w:themeColor="text1"/>
                <w:szCs w:val="21"/>
                <w14:textFill>
                  <w14:solidFill>
                    <w14:schemeClr w14:val="tx1"/>
                  </w14:solidFill>
                </w14:textFill>
              </w:rPr>
              <w:t>，提升就业服务质量。进一步加强常态化的毕业生质量持续跟踪调查，将用人单位反馈、毕业生反馈、第三方评价等外部评价结果应用于专业布局和人才培养过程的优化调整。</w:t>
            </w:r>
          </w:p>
        </w:tc>
        <w:tc>
          <w:tcPr>
            <w:tcW w:w="1701" w:type="dxa"/>
          </w:tcPr>
          <w:p w14:paraId="0F7DDC14">
            <w:pPr>
              <w:rPr>
                <w:rFonts w:ascii="仿宋" w:hAnsi="仿宋" w:eastAsia="仿宋"/>
                <w:szCs w:val="21"/>
              </w:rPr>
            </w:pPr>
          </w:p>
        </w:tc>
        <w:tc>
          <w:tcPr>
            <w:tcW w:w="1560" w:type="dxa"/>
            <w:vAlign w:val="center"/>
          </w:tcPr>
          <w:p w14:paraId="6A70A735">
            <w:pPr>
              <w:rPr>
                <w:rFonts w:ascii="仿宋" w:hAnsi="仿宋" w:eastAsia="仿宋"/>
                <w:szCs w:val="21"/>
              </w:rPr>
            </w:pPr>
          </w:p>
        </w:tc>
        <w:tc>
          <w:tcPr>
            <w:tcW w:w="1701" w:type="dxa"/>
            <w:vAlign w:val="center"/>
          </w:tcPr>
          <w:p w14:paraId="7ECB8214">
            <w:pPr>
              <w:rPr>
                <w:rFonts w:ascii="仿宋" w:hAnsi="仿宋" w:eastAsia="仿宋"/>
                <w:szCs w:val="21"/>
              </w:rPr>
            </w:pPr>
          </w:p>
        </w:tc>
        <w:tc>
          <w:tcPr>
            <w:tcW w:w="1275" w:type="dxa"/>
            <w:vAlign w:val="center"/>
          </w:tcPr>
          <w:p w14:paraId="604A33B2">
            <w:pPr>
              <w:rPr>
                <w:rFonts w:ascii="仿宋" w:hAnsi="仿宋" w:eastAsia="仿宋"/>
                <w:szCs w:val="21"/>
              </w:rPr>
            </w:pPr>
          </w:p>
        </w:tc>
        <w:tc>
          <w:tcPr>
            <w:tcW w:w="993" w:type="dxa"/>
            <w:tcBorders>
              <w:top w:val="nil"/>
              <w:left w:val="single" w:color="auto" w:sz="4" w:space="0"/>
              <w:bottom w:val="single" w:color="auto" w:sz="4" w:space="0"/>
              <w:right w:val="single" w:color="auto" w:sz="4" w:space="0"/>
            </w:tcBorders>
            <w:shd w:val="clear" w:color="auto" w:fill="auto"/>
            <w:vAlign w:val="center"/>
          </w:tcPr>
          <w:p w14:paraId="19AE2C60">
            <w:pPr>
              <w:rPr>
                <w:rFonts w:ascii="宋体" w:hAnsi="宋体" w:eastAsia="宋体"/>
                <w:szCs w:val="21"/>
              </w:rPr>
            </w:pPr>
            <w:r>
              <w:rPr>
                <w:rFonts w:hint="eastAsia" w:ascii="宋体" w:hAnsi="宋体" w:eastAsia="宋体"/>
                <w:szCs w:val="21"/>
              </w:rPr>
              <w:t>教育评价与教师发展中心</w:t>
            </w:r>
          </w:p>
        </w:tc>
        <w:tc>
          <w:tcPr>
            <w:tcW w:w="1559" w:type="dxa"/>
            <w:tcBorders>
              <w:top w:val="nil"/>
              <w:left w:val="nil"/>
              <w:bottom w:val="single" w:color="auto" w:sz="4" w:space="0"/>
              <w:right w:val="single" w:color="auto" w:sz="4" w:space="0"/>
            </w:tcBorders>
            <w:shd w:val="clear" w:color="auto" w:fill="auto"/>
            <w:vAlign w:val="center"/>
          </w:tcPr>
          <w:p w14:paraId="49E92A41">
            <w:pPr>
              <w:rPr>
                <w:rFonts w:ascii="宋体" w:hAnsi="宋体" w:eastAsia="宋体"/>
                <w:szCs w:val="21"/>
              </w:rPr>
            </w:pPr>
            <w:r>
              <w:rPr>
                <w:rFonts w:hint="eastAsia" w:ascii="宋体" w:hAnsi="宋体" w:eastAsia="宋体"/>
                <w:szCs w:val="21"/>
              </w:rPr>
              <w:t>校团委、学工部（处）、招就处、教务处、各二级学院</w:t>
            </w:r>
          </w:p>
        </w:tc>
        <w:tc>
          <w:tcPr>
            <w:tcW w:w="567" w:type="dxa"/>
            <w:vAlign w:val="center"/>
          </w:tcPr>
          <w:p w14:paraId="1106CF1E">
            <w:pPr>
              <w:rPr>
                <w:rFonts w:ascii="仿宋" w:hAnsi="仿宋" w:eastAsia="仿宋"/>
                <w:szCs w:val="21"/>
              </w:rPr>
            </w:pPr>
          </w:p>
        </w:tc>
        <w:tc>
          <w:tcPr>
            <w:tcW w:w="567" w:type="dxa"/>
            <w:vAlign w:val="center"/>
          </w:tcPr>
          <w:p w14:paraId="4D445AA9">
            <w:pPr>
              <w:rPr>
                <w:rFonts w:ascii="仿宋" w:hAnsi="仿宋" w:eastAsia="仿宋"/>
                <w:szCs w:val="21"/>
              </w:rPr>
            </w:pPr>
          </w:p>
        </w:tc>
      </w:tr>
    </w:tbl>
    <w:p w14:paraId="23EA9E4C">
      <w:pPr>
        <w:rPr>
          <w:rFonts w:hint="default"/>
          <w:lang w:val="en-US" w:eastAsia="zh-CN"/>
        </w:rPr>
      </w:pPr>
    </w:p>
    <w:sectPr>
      <w:pgSz w:w="16838" w:h="11906" w:orient="landscape"/>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0788D">
    <w:pPr>
      <w:pStyle w:val="5"/>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880A9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A880A9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70BC5"/>
    <w:rsid w:val="430C3CF6"/>
    <w:rsid w:val="497918A1"/>
    <w:rsid w:val="4D7D5783"/>
    <w:rsid w:val="58074567"/>
    <w:rsid w:val="64D25103"/>
    <w:rsid w:val="66DC4B10"/>
    <w:rsid w:val="66F47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trackRevision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3" w:lineRule="auto"/>
      <w:outlineLvl w:val="1"/>
    </w:pPr>
    <w:rPr>
      <w:rFonts w:eastAsia="黑体"/>
      <w:b/>
      <w:sz w:val="32"/>
    </w:rPr>
  </w:style>
  <w:style w:type="paragraph" w:styleId="3">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20"/>
    </w:pPr>
    <w:rPr>
      <w:rFonts w:ascii="仿宋_GB2312" w:hAnsi="仿宋_GB2312" w:eastAsia="仿宋_GB2312" w:cs="仿宋_GB2312"/>
      <w:sz w:val="28"/>
      <w:szCs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5535</Words>
  <Characters>5634</Characters>
  <Lines>0</Lines>
  <Paragraphs>0</Paragraphs>
  <TotalTime>10</TotalTime>
  <ScaleCrop>false</ScaleCrop>
  <LinksUpToDate>false</LinksUpToDate>
  <CharactersWithSpaces>5635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2025-03-17T07:20:00Z</dcterms:created>
  <dc:creator>dell</dc:creator>
  <cp:lastModifiedBy>吴梦灵</cp:lastModifiedBy>
  <dcterms:modified xsi:type="dcterms:W3CDTF">2025-03-19T13:55:00Z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eyJoZGlkIjoiZTcwZjQ5MDc3MmE0NGU5NTdiYzE0MWVlNjc5ZDRhZDciLCJ1c2VySWQiOiIxNzg2OTU2NiJ9</vt:lpwstr>
  </property>
  <property fmtid="{D5CDD505-2E9C-101B-9397-08002B2CF9AE}" pid="4" name="ICV">
    <vt:lpwstr>5A3D6A1194DD4A9198602930D04418B5_12</vt:lpwstr>
  </property>
</Properties>
</file>